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版本号：TDZB-2026-200920260409001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西安经开区2026年中小学生体育、艺术比赛项目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TDZB-2026-2009</w:t>
      </w:r>
      <w:r>
        <w:br/>
      </w:r>
      <w:r>
        <w:br/>
      </w:r>
      <w:r>
        <w:br/>
      </w:r>
    </w:p>
    <w:p>
      <w:pPr>
        <w:pStyle w:val="null3"/>
        <w:jc w:val="center"/>
        <w:outlineLvl w:val="2"/>
      </w:pPr>
      <w:r>
        <w:rPr>
          <w:rFonts w:ascii="仿宋_GB2312" w:hAnsi="仿宋_GB2312" w:cs="仿宋_GB2312" w:eastAsia="仿宋_GB2312"/>
          <w:sz w:val="28"/>
          <w:b/>
        </w:rPr>
        <w:t>西安经济技术开发区教育体育局</w:t>
      </w:r>
    </w:p>
    <w:p>
      <w:pPr>
        <w:pStyle w:val="null3"/>
        <w:jc w:val="center"/>
        <w:outlineLvl w:val="2"/>
      </w:pPr>
      <w:r>
        <w:rPr>
          <w:rFonts w:ascii="仿宋_GB2312" w:hAnsi="仿宋_GB2312" w:cs="仿宋_GB2312" w:eastAsia="仿宋_GB2312"/>
          <w:sz w:val="28"/>
          <w:b/>
        </w:rPr>
        <w:t>腾德工程咨询有限公司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腾德工程咨询有限公司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西安经济技术开发区教育体育局</w:t>
      </w:r>
      <w:r>
        <w:rPr>
          <w:rFonts w:ascii="仿宋_GB2312" w:hAnsi="仿宋_GB2312" w:cs="仿宋_GB2312" w:eastAsia="仿宋_GB2312"/>
        </w:rPr>
        <w:t>委托，拟对</w:t>
      </w:r>
      <w:r>
        <w:rPr>
          <w:rFonts w:ascii="仿宋_GB2312" w:hAnsi="仿宋_GB2312" w:cs="仿宋_GB2312" w:eastAsia="仿宋_GB2312"/>
        </w:rPr>
        <w:t>西安经开区2026年中小学生体育、艺术比赛项目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TDZB-2026-2009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西安经开区2026年中小学生体育、艺术比赛项目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完成13项区级中小学生体育、艺术赛事举办。</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或2025年度财务报告或磋商前六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提交磋商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提交磋商文件递交截止时间前一年内至少一个月的纳税证明或完税证明（增值税、营业税、企业所得税至少提供一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磋商的，须提供法定代表人身份证明；法定代表人授权他人参加磋商的，须提供法定代表人授权委托书，被授权代表本单位证明：有效的劳动合同或磋商截止前六个月内任意一个月养老保险缴纳证明。（法人参加只需提供法定代表人身份证明）。</w:t>
      </w:r>
    </w:p>
    <w:p>
      <w:pPr>
        <w:pStyle w:val="null3"/>
      </w:pPr>
      <w:r>
        <w:rPr>
          <w:rFonts w:ascii="仿宋_GB2312" w:hAnsi="仿宋_GB2312" w:cs="仿宋_GB2312" w:eastAsia="仿宋_GB2312"/>
        </w:rPr>
        <w:t>7、信用记录：经查，供应商未被列入“信用中国”网站记录的“失信被执行人”或“重大税收违法失信主体”名单；不处于“中国政府采购网”记录的“政府采购严重违法失信行为记录名单”中的禁止参加政府采购活动期间。（不强制要求供应商提供查询截图，以开标当天查询结果为评审依据)</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响应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响应函》完成承诺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西安经济技术开发区凤城十二路与明光路凯瑞F座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029-86525865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腾德工程咨询有限公司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西安市未央区明光路与北三环十字东北角中建财智广场5栋501室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申佩玉、朱小克、宁超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18729107315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康老师、金老师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029-86522654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招标代理服务收费管理暂行办法的通知》（计价格【2002】1980号）和国家发改委办公厅颁发的《关于招标代理服务收费有关问题的通知》（发改办价格【2003】857号）文件规定标准收取。具体收费金额将在成交公告中公布。 采购代理服务费缴纳账户信息： 代理机构开户名称：腾德工程咨询有限公司 开户行：中国光大银行股份有限公司西安凤城九路支行 账 号：79260188000034793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西安经济技术开发区教育体育局</w:t>
      </w:r>
      <w:r>
        <w:rPr>
          <w:rFonts w:ascii="仿宋_GB2312" w:hAnsi="仿宋_GB2312" w:cs="仿宋_GB2312" w:eastAsia="仿宋_GB2312"/>
        </w:rPr>
        <w:t>和</w:t>
      </w:r>
      <w:r>
        <w:rPr>
          <w:rFonts w:ascii="仿宋_GB2312" w:hAnsi="仿宋_GB2312" w:cs="仿宋_GB2312" w:eastAsia="仿宋_GB2312"/>
        </w:rPr>
        <w:t>腾德工程咨询有限公司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腾德工程咨询有限公司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腾德工程咨询有限公司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达到国家（行业）强制性标准。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联系人：朱经理</w:t>
      </w:r>
    </w:p>
    <w:p>
      <w:pPr>
        <w:pStyle w:val="null3"/>
      </w:pPr>
      <w:r>
        <w:rPr>
          <w:rFonts w:ascii="仿宋_GB2312" w:hAnsi="仿宋_GB2312" w:cs="仿宋_GB2312" w:eastAsia="仿宋_GB2312"/>
        </w:rPr>
        <w:t>联系电话：15029055783</w:t>
      </w:r>
    </w:p>
    <w:p>
      <w:pPr>
        <w:pStyle w:val="null3"/>
      </w:pPr>
      <w:r>
        <w:rPr>
          <w:rFonts w:ascii="仿宋_GB2312" w:hAnsi="仿宋_GB2312" w:cs="仿宋_GB2312" w:eastAsia="仿宋_GB2312"/>
        </w:rPr>
        <w:t>地址：西安市未央区明光路与北三环十字东北角中建财智广场5栋501室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完成13项区级中小学生体育、艺术赛事举办。</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中小学生体育艺术比赛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标的名称：中小学生体育艺术比赛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sz w:val="20"/>
              </w:rPr>
              <w:t>一、</w:t>
            </w:r>
            <w:r>
              <w:rPr>
                <w:rFonts w:ascii="仿宋_GB2312" w:hAnsi="仿宋_GB2312" w:cs="仿宋_GB2312" w:eastAsia="仿宋_GB2312"/>
                <w:sz w:val="20"/>
              </w:rPr>
              <w:t>核心采购内容</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赛事组织执行服务：包括</w:t>
            </w:r>
            <w:r>
              <w:rPr>
                <w:rFonts w:ascii="仿宋_GB2312" w:hAnsi="仿宋_GB2312" w:cs="仿宋_GB2312" w:eastAsia="仿宋_GB2312"/>
                <w:sz w:val="20"/>
              </w:rPr>
              <w:t>13</w:t>
            </w:r>
            <w:r>
              <w:rPr>
                <w:rFonts w:ascii="仿宋_GB2312" w:hAnsi="仿宋_GB2312" w:cs="仿宋_GB2312" w:eastAsia="仿宋_GB2312"/>
                <w:sz w:val="20"/>
              </w:rPr>
              <w:t>项比赛（田径运动会、足球联赛、艺术展演等）的赛程编排、场地布置、人员协调等全流程执行。</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专业裁判服务：按赛事需求配备足额具备相应资质的裁判人员（一级及以上裁判占比≥</w:t>
            </w:r>
            <w:r>
              <w:rPr>
                <w:rFonts w:ascii="仿宋_GB2312" w:hAnsi="仿宋_GB2312" w:cs="仿宋_GB2312" w:eastAsia="仿宋_GB2312"/>
                <w:sz w:val="20"/>
              </w:rPr>
              <w:t>30%</w:t>
            </w:r>
            <w:r>
              <w:rPr>
                <w:rFonts w:ascii="仿宋_GB2312" w:hAnsi="仿宋_GB2312" w:cs="仿宋_GB2312" w:eastAsia="仿宋_GB2312"/>
                <w:sz w:val="20"/>
              </w:rPr>
              <w:t>），负责比赛执裁、成绩统计等工作。</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器材租赁与保障：提供专业比赛器材（击剑剑道、田径电子计时设备、球类器材等），确保器材符合赛事标准且状态良好。</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物料制作服务：制作主背景桁架、秩序册、工作证、奖牌证书等赛事物料，满足赛事宣传及表彰需求。</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后勤保障服务：包括赛事期间医疗保障（救护车</w:t>
            </w:r>
            <w:r>
              <w:rPr>
                <w:rFonts w:ascii="仿宋_GB2312" w:hAnsi="仿宋_GB2312" w:cs="仿宋_GB2312" w:eastAsia="仿宋_GB2312"/>
                <w:sz w:val="20"/>
              </w:rPr>
              <w:t>+</w:t>
            </w:r>
            <w:r>
              <w:rPr>
                <w:rFonts w:ascii="仿宋_GB2312" w:hAnsi="仿宋_GB2312" w:cs="仿宋_GB2312" w:eastAsia="仿宋_GB2312"/>
                <w:sz w:val="20"/>
              </w:rPr>
              <w:t>医护人员驻场）、工作用水供应、组织者责任险投保等。</w:t>
            </w:r>
          </w:p>
          <w:p>
            <w:pPr>
              <w:pStyle w:val="null3"/>
              <w:ind w:firstLine="400"/>
            </w:pPr>
            <w:r>
              <w:rPr>
                <w:rFonts w:ascii="仿宋_GB2312" w:hAnsi="仿宋_GB2312" w:cs="仿宋_GB2312" w:eastAsia="仿宋_GB2312"/>
                <w:sz w:val="20"/>
              </w:rPr>
              <w:t>6.</w:t>
            </w:r>
            <w:r>
              <w:rPr>
                <w:rFonts w:ascii="仿宋_GB2312" w:hAnsi="仿宋_GB2312" w:cs="仿宋_GB2312" w:eastAsia="仿宋_GB2312"/>
              </w:rPr>
              <w:t>精彩瞬间图片、视频采集服务</w:t>
            </w:r>
            <w:r>
              <w:rPr>
                <w:rFonts w:ascii="仿宋_GB2312" w:hAnsi="仿宋_GB2312" w:cs="仿宋_GB2312" w:eastAsia="仿宋_GB2312"/>
                <w:sz w:val="20"/>
              </w:rPr>
              <w:t>：比赛精彩瞬间的图片、视频等采集，以及名次赛的影像资料采集及存储。</w:t>
            </w:r>
          </w:p>
          <w:p>
            <w:pPr>
              <w:pStyle w:val="null3"/>
              <w:ind w:firstLine="400"/>
            </w:pPr>
            <w:r>
              <w:rPr>
                <w:rFonts w:ascii="仿宋_GB2312" w:hAnsi="仿宋_GB2312" w:cs="仿宋_GB2312" w:eastAsia="仿宋_GB2312"/>
                <w:sz w:val="20"/>
              </w:rPr>
              <w:t>7.</w:t>
            </w:r>
            <w:r>
              <w:rPr>
                <w:rFonts w:ascii="仿宋_GB2312" w:hAnsi="仿宋_GB2312" w:cs="仿宋_GB2312" w:eastAsia="仿宋_GB2312"/>
                <w:sz w:val="20"/>
              </w:rPr>
              <w:t>竞赛项目：田径运动会、艺术展演、青少年足球联赛、足球比赛、篮球比赛、跆拳道比赛、三跳比赛、羽毛球赛、乒乓球赛、游泳比赛、击剑比赛、排球比赛、围棋比赛，共</w:t>
            </w:r>
            <w:r>
              <w:rPr>
                <w:rFonts w:ascii="仿宋_GB2312" w:hAnsi="仿宋_GB2312" w:cs="仿宋_GB2312" w:eastAsia="仿宋_GB2312"/>
                <w:sz w:val="20"/>
              </w:rPr>
              <w:t>13</w:t>
            </w:r>
            <w:r>
              <w:rPr>
                <w:rFonts w:ascii="仿宋_GB2312" w:hAnsi="仿宋_GB2312" w:cs="仿宋_GB2312" w:eastAsia="仿宋_GB2312"/>
                <w:sz w:val="20"/>
              </w:rPr>
              <w:t>个体艺比赛项目。</w:t>
            </w:r>
          </w:p>
          <w:p>
            <w:pPr>
              <w:pStyle w:val="null3"/>
              <w:ind w:firstLine="400"/>
            </w:pP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关键技术要求</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供应商</w:t>
            </w:r>
            <w:r>
              <w:rPr>
                <w:rFonts w:ascii="仿宋_GB2312" w:hAnsi="仿宋_GB2312" w:cs="仿宋_GB2312" w:eastAsia="仿宋_GB2312"/>
                <w:sz w:val="20"/>
              </w:rPr>
              <w:t>经验</w:t>
            </w:r>
            <w:r>
              <w:rPr>
                <w:rFonts w:ascii="仿宋_GB2312" w:hAnsi="仿宋_GB2312" w:cs="仿宋_GB2312" w:eastAsia="仿宋_GB2312"/>
                <w:sz w:val="20"/>
              </w:rPr>
              <w:t>：具备近</w:t>
            </w:r>
            <w:r>
              <w:rPr>
                <w:rFonts w:ascii="仿宋_GB2312" w:hAnsi="仿宋_GB2312" w:cs="仿宋_GB2312" w:eastAsia="仿宋_GB2312"/>
                <w:sz w:val="20"/>
              </w:rPr>
              <w:t>3</w:t>
            </w:r>
            <w:r>
              <w:rPr>
                <w:rFonts w:ascii="仿宋_GB2312" w:hAnsi="仿宋_GB2312" w:cs="仿宋_GB2312" w:eastAsia="仿宋_GB2312"/>
                <w:sz w:val="20"/>
              </w:rPr>
              <w:t>年有同类中小学生体艺赛事服务经验（需提供业绩证明）。</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人员配置：核心团队成员需具备专业裁判等相关资质，医疗保障人员需具备执业医师资格。</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安全保障：制定完善的赛事安全应急预案，确保赛事安全事故发生率为</w:t>
            </w:r>
            <w:r>
              <w:rPr>
                <w:rFonts w:ascii="仿宋_GB2312" w:hAnsi="仿宋_GB2312" w:cs="仿宋_GB2312" w:eastAsia="仿宋_GB2312"/>
                <w:sz w:val="20"/>
              </w:rPr>
              <w:t>0</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服务时效：严格按既定赛程完成所有赛事，按时完成率</w:t>
            </w:r>
            <w:r>
              <w:rPr>
                <w:rFonts w:ascii="仿宋_GB2312" w:hAnsi="仿宋_GB2312" w:cs="仿宋_GB2312" w:eastAsia="仿宋_GB2312"/>
                <w:sz w:val="20"/>
              </w:rPr>
              <w:t>100%</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三</w:t>
            </w:r>
            <w:r>
              <w:rPr>
                <w:rFonts w:ascii="仿宋_GB2312" w:hAnsi="仿宋_GB2312" w:cs="仿宋_GB2312" w:eastAsia="仿宋_GB2312"/>
                <w:sz w:val="20"/>
              </w:rPr>
              <w:t>、验收要求</w:t>
            </w:r>
          </w:p>
          <w:p>
            <w:pPr>
              <w:pStyle w:val="null3"/>
              <w:ind w:firstLine="400"/>
            </w:pPr>
            <w:r>
              <w:rPr>
                <w:rFonts w:ascii="仿宋_GB2312" w:hAnsi="仿宋_GB2312" w:cs="仿宋_GB2312" w:eastAsia="仿宋_GB2312"/>
                <w:sz w:val="20"/>
              </w:rPr>
              <w:t>（一）验收标准</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产出验收：需完成</w:t>
            </w:r>
            <w:r>
              <w:rPr>
                <w:rFonts w:ascii="仿宋_GB2312" w:hAnsi="仿宋_GB2312" w:cs="仿宋_GB2312" w:eastAsia="仿宋_GB2312"/>
                <w:sz w:val="20"/>
              </w:rPr>
              <w:t>13</w:t>
            </w:r>
            <w:r>
              <w:rPr>
                <w:rFonts w:ascii="仿宋_GB2312" w:hAnsi="仿宋_GB2312" w:cs="仿宋_GB2312" w:eastAsia="仿宋_GB2312"/>
                <w:sz w:val="20"/>
              </w:rPr>
              <w:t>项赛事举办，各项赛事参与规模、执行流程符合招标文件及绩效目标表要求；</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质量验收：裁判资质达标率</w:t>
            </w:r>
            <w:r>
              <w:rPr>
                <w:rFonts w:ascii="仿宋_GB2312" w:hAnsi="仿宋_GB2312" w:cs="仿宋_GB2312" w:eastAsia="仿宋_GB2312"/>
                <w:sz w:val="20"/>
              </w:rPr>
              <w:t>100%</w:t>
            </w:r>
            <w:r>
              <w:rPr>
                <w:rFonts w:ascii="仿宋_GB2312" w:hAnsi="仿宋_GB2312" w:cs="仿宋_GB2312" w:eastAsia="仿宋_GB2312"/>
                <w:sz w:val="20"/>
              </w:rPr>
              <w:t>，赛事无违规争议，安全事故发生率为</w:t>
            </w:r>
            <w:r>
              <w:rPr>
                <w:rFonts w:ascii="仿宋_GB2312" w:hAnsi="仿宋_GB2312" w:cs="仿宋_GB2312" w:eastAsia="仿宋_GB2312"/>
                <w:sz w:val="20"/>
              </w:rPr>
              <w:t>0</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资料验收：需提供赛程表、裁判资质证明、成绩册、宣传报道截图、满意度调查报告等完整资料；</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绩效验收：第三方服务占比≥</w:t>
            </w:r>
            <w:r>
              <w:rPr>
                <w:rFonts w:ascii="仿宋_GB2312" w:hAnsi="仿宋_GB2312" w:cs="仿宋_GB2312" w:eastAsia="仿宋_GB2312"/>
                <w:sz w:val="20"/>
              </w:rPr>
              <w:t>60%</w:t>
            </w:r>
            <w:r>
              <w:rPr>
                <w:rFonts w:ascii="仿宋_GB2312" w:hAnsi="仿宋_GB2312" w:cs="仿宋_GB2312" w:eastAsia="仿宋_GB2312"/>
                <w:sz w:val="20"/>
              </w:rPr>
              <w:t>，预算执行率≤</w:t>
            </w:r>
            <w:r>
              <w:rPr>
                <w:rFonts w:ascii="仿宋_GB2312" w:hAnsi="仿宋_GB2312" w:cs="仿宋_GB2312" w:eastAsia="仿宋_GB2312"/>
                <w:sz w:val="20"/>
              </w:rPr>
              <w:t>100%</w:t>
            </w:r>
            <w:r>
              <w:rPr>
                <w:rFonts w:ascii="仿宋_GB2312" w:hAnsi="仿宋_GB2312" w:cs="仿宋_GB2312" w:eastAsia="仿宋_GB2312"/>
                <w:sz w:val="20"/>
              </w:rPr>
              <w:t>，各项绩效指标达标。</w:t>
            </w:r>
          </w:p>
          <w:p>
            <w:pPr>
              <w:pStyle w:val="null3"/>
              <w:ind w:firstLine="400"/>
            </w:pPr>
            <w:r>
              <w:rPr>
                <w:rFonts w:ascii="仿宋_GB2312" w:hAnsi="仿宋_GB2312" w:cs="仿宋_GB2312" w:eastAsia="仿宋_GB2312"/>
                <w:sz w:val="20"/>
              </w:rPr>
              <w:t>（二）验收流程</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供应商提交验收申请及相关资料（赛后</w:t>
            </w:r>
            <w:r>
              <w:rPr>
                <w:rFonts w:ascii="仿宋_GB2312" w:hAnsi="仿宋_GB2312" w:cs="仿宋_GB2312" w:eastAsia="仿宋_GB2312"/>
                <w:sz w:val="20"/>
              </w:rPr>
              <w:t>10</w:t>
            </w:r>
            <w:r>
              <w:rPr>
                <w:rFonts w:ascii="仿宋_GB2312" w:hAnsi="仿宋_GB2312" w:cs="仿宋_GB2312" w:eastAsia="仿宋_GB2312"/>
                <w:sz w:val="20"/>
              </w:rPr>
              <w:t>天内）；</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采购方组织验收小组（教育体育局相关人员）开展现场核查、资料审核；</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验收合格出具《项目验收合格通知书》；不合格则提出整改意见，供应商需在</w:t>
            </w:r>
            <w:r>
              <w:rPr>
                <w:rFonts w:ascii="仿宋_GB2312" w:hAnsi="仿宋_GB2312" w:cs="仿宋_GB2312" w:eastAsia="仿宋_GB2312"/>
                <w:sz w:val="20"/>
              </w:rPr>
              <w:t>5</w:t>
            </w:r>
            <w:r>
              <w:rPr>
                <w:rFonts w:ascii="仿宋_GB2312" w:hAnsi="仿宋_GB2312" w:cs="仿宋_GB2312" w:eastAsia="仿宋_GB2312"/>
                <w:sz w:val="20"/>
              </w:rPr>
              <w:t>天内完成整改复验。</w:t>
            </w:r>
          </w:p>
          <w:p>
            <w:pPr>
              <w:pStyle w:val="null3"/>
              <w:ind w:firstLine="400"/>
            </w:pPr>
            <w:r>
              <w:rPr>
                <w:rFonts w:ascii="仿宋_GB2312" w:hAnsi="仿宋_GB2312" w:cs="仿宋_GB2312" w:eastAsia="仿宋_GB2312"/>
                <w:sz w:val="20"/>
              </w:rPr>
              <w:t>（三）验收考核</w:t>
            </w:r>
          </w:p>
          <w:p>
            <w:pPr>
              <w:pStyle w:val="null3"/>
              <w:ind w:firstLine="400"/>
            </w:pPr>
            <w:r>
              <w:rPr>
                <w:rFonts w:ascii="仿宋_GB2312" w:hAnsi="仿宋_GB2312" w:cs="仿宋_GB2312" w:eastAsia="仿宋_GB2312"/>
                <w:sz w:val="20"/>
              </w:rPr>
              <w:t>采购人按照考核标准对供应商</w:t>
            </w:r>
            <w:r>
              <w:rPr>
                <w:rFonts w:ascii="仿宋_GB2312" w:hAnsi="仿宋_GB2312" w:cs="仿宋_GB2312" w:eastAsia="仿宋_GB2312"/>
                <w:sz w:val="20"/>
              </w:rPr>
              <w:t>进行考核，罚款总额不超过合同总额的</w:t>
            </w:r>
            <w:r>
              <w:rPr>
                <w:rFonts w:ascii="仿宋_GB2312" w:hAnsi="仿宋_GB2312" w:cs="仿宋_GB2312" w:eastAsia="仿宋_GB2312"/>
                <w:sz w:val="20"/>
              </w:rPr>
              <w:t>5%</w:t>
            </w:r>
            <w:r>
              <w:rPr>
                <w:rFonts w:ascii="仿宋_GB2312" w:hAnsi="仿宋_GB2312" w:cs="仿宋_GB2312" w:eastAsia="仿宋_GB2312"/>
                <w:sz w:val="20"/>
              </w:rPr>
              <w:t>，在支付尾款时从应付款中直接扣除。</w:t>
            </w:r>
            <w:r>
              <w:rPr>
                <w:rFonts w:ascii="仿宋_GB2312" w:hAnsi="仿宋_GB2312" w:cs="仿宋_GB2312" w:eastAsia="仿宋_GB2312"/>
                <w:sz w:val="20"/>
              </w:rPr>
              <w:t>考核标准如下：</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现场布建情况占</w:t>
            </w:r>
            <w:r>
              <w:rPr>
                <w:rFonts w:ascii="仿宋_GB2312" w:hAnsi="仿宋_GB2312" w:cs="仿宋_GB2312" w:eastAsia="仿宋_GB2312"/>
                <w:sz w:val="20"/>
              </w:rPr>
              <w:t>20</w:t>
            </w:r>
            <w:r>
              <w:rPr>
                <w:rFonts w:ascii="仿宋_GB2312" w:hAnsi="仿宋_GB2312" w:cs="仿宋_GB2312" w:eastAsia="仿宋_GB2312"/>
                <w:sz w:val="20"/>
              </w:rPr>
              <w:t>分，如搭建存在安全隐患、物料制作存在失误等情况，导致造成不良影响，每出现一项扣</w:t>
            </w:r>
            <w:r>
              <w:rPr>
                <w:rFonts w:ascii="仿宋_GB2312" w:hAnsi="仿宋_GB2312" w:cs="仿宋_GB2312" w:eastAsia="仿宋_GB2312"/>
                <w:sz w:val="20"/>
              </w:rPr>
              <w:t>2</w:t>
            </w:r>
            <w:r>
              <w:rPr>
                <w:rFonts w:ascii="仿宋_GB2312" w:hAnsi="仿宋_GB2312" w:cs="仿宋_GB2312" w:eastAsia="仿宋_GB2312"/>
                <w:sz w:val="20"/>
              </w:rPr>
              <w:t>分；</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裁判组专业性、公平性占</w:t>
            </w:r>
            <w:r>
              <w:rPr>
                <w:rFonts w:ascii="仿宋_GB2312" w:hAnsi="仿宋_GB2312" w:cs="仿宋_GB2312" w:eastAsia="仿宋_GB2312"/>
                <w:sz w:val="20"/>
              </w:rPr>
              <w:t>30</w:t>
            </w:r>
            <w:r>
              <w:rPr>
                <w:rFonts w:ascii="仿宋_GB2312" w:hAnsi="仿宋_GB2312" w:cs="仿宋_GB2312" w:eastAsia="仿宋_GB2312"/>
                <w:sz w:val="20"/>
              </w:rPr>
              <w:t>分，如出现无资格证书上岗、不公平判决等情况，导致造成不良影响，每出现一项扣</w:t>
            </w:r>
            <w:r>
              <w:rPr>
                <w:rFonts w:ascii="仿宋_GB2312" w:hAnsi="仿宋_GB2312" w:cs="仿宋_GB2312" w:eastAsia="仿宋_GB2312"/>
                <w:sz w:val="20"/>
              </w:rPr>
              <w:t>3</w:t>
            </w:r>
            <w:r>
              <w:rPr>
                <w:rFonts w:ascii="仿宋_GB2312" w:hAnsi="仿宋_GB2312" w:cs="仿宋_GB2312" w:eastAsia="仿宋_GB2312"/>
                <w:sz w:val="20"/>
              </w:rPr>
              <w:t>分；</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现场保障占</w:t>
            </w:r>
            <w:r>
              <w:rPr>
                <w:rFonts w:ascii="仿宋_GB2312" w:hAnsi="仿宋_GB2312" w:cs="仿宋_GB2312" w:eastAsia="仿宋_GB2312"/>
                <w:sz w:val="20"/>
              </w:rPr>
              <w:t>30</w:t>
            </w:r>
            <w:r>
              <w:rPr>
                <w:rFonts w:ascii="仿宋_GB2312" w:hAnsi="仿宋_GB2312" w:cs="仿宋_GB2312" w:eastAsia="仿宋_GB2312"/>
                <w:sz w:val="20"/>
              </w:rPr>
              <w:t>分，如出现医疗服务、赛事物料供应、工作用水供应等存在不及时的情况，每出现一项扣</w:t>
            </w:r>
            <w:r>
              <w:rPr>
                <w:rFonts w:ascii="仿宋_GB2312" w:hAnsi="仿宋_GB2312" w:cs="仿宋_GB2312" w:eastAsia="仿宋_GB2312"/>
                <w:sz w:val="20"/>
              </w:rPr>
              <w:t>3</w:t>
            </w:r>
            <w:r>
              <w:rPr>
                <w:rFonts w:ascii="仿宋_GB2312" w:hAnsi="仿宋_GB2312" w:cs="仿宋_GB2312" w:eastAsia="仿宋_GB2312"/>
                <w:sz w:val="20"/>
              </w:rPr>
              <w:t>分；</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赛后总结资料齐全占</w:t>
            </w:r>
            <w:r>
              <w:rPr>
                <w:rFonts w:ascii="仿宋_GB2312" w:hAnsi="仿宋_GB2312" w:cs="仿宋_GB2312" w:eastAsia="仿宋_GB2312"/>
                <w:sz w:val="20"/>
              </w:rPr>
              <w:t>20</w:t>
            </w:r>
            <w:r>
              <w:rPr>
                <w:rFonts w:ascii="仿宋_GB2312" w:hAnsi="仿宋_GB2312" w:cs="仿宋_GB2312" w:eastAsia="仿宋_GB2312"/>
                <w:sz w:val="20"/>
              </w:rPr>
              <w:t>分，如出现赛程表、秩序册、成绩册等验收资料不齐全的情况，每出现一项扣</w:t>
            </w:r>
            <w:r>
              <w:rPr>
                <w:rFonts w:ascii="仿宋_GB2312" w:hAnsi="仿宋_GB2312" w:cs="仿宋_GB2312" w:eastAsia="仿宋_GB2312"/>
                <w:sz w:val="20"/>
              </w:rPr>
              <w:t>2</w:t>
            </w:r>
            <w:r>
              <w:rPr>
                <w:rFonts w:ascii="仿宋_GB2312" w:hAnsi="仿宋_GB2312" w:cs="仿宋_GB2312" w:eastAsia="仿宋_GB2312"/>
                <w:sz w:val="20"/>
              </w:rPr>
              <w:t>分；</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考核得分≥</w:t>
            </w:r>
            <w:r>
              <w:rPr>
                <w:rFonts w:ascii="仿宋_GB2312" w:hAnsi="仿宋_GB2312" w:cs="仿宋_GB2312" w:eastAsia="仿宋_GB2312"/>
                <w:sz w:val="20"/>
              </w:rPr>
              <w:t>95</w:t>
            </w:r>
            <w:r>
              <w:rPr>
                <w:rFonts w:ascii="仿宋_GB2312" w:hAnsi="仿宋_GB2312" w:cs="仿宋_GB2312" w:eastAsia="仿宋_GB2312"/>
                <w:sz w:val="20"/>
              </w:rPr>
              <w:t>分时，不予罚款；考核得分≥</w:t>
            </w:r>
            <w:r>
              <w:rPr>
                <w:rFonts w:ascii="仿宋_GB2312" w:hAnsi="仿宋_GB2312" w:cs="仿宋_GB2312" w:eastAsia="仿宋_GB2312"/>
                <w:sz w:val="20"/>
              </w:rPr>
              <w:t>85</w:t>
            </w:r>
            <w:r>
              <w:rPr>
                <w:rFonts w:ascii="仿宋_GB2312" w:hAnsi="仿宋_GB2312" w:cs="仿宋_GB2312" w:eastAsia="仿宋_GB2312"/>
                <w:sz w:val="20"/>
              </w:rPr>
              <w:t>分时，罚款金额（元）</w:t>
            </w:r>
            <w:r>
              <w:rPr>
                <w:rFonts w:ascii="仿宋_GB2312" w:hAnsi="仿宋_GB2312" w:cs="仿宋_GB2312" w:eastAsia="仿宋_GB2312"/>
                <w:sz w:val="20"/>
              </w:rPr>
              <w:t>=2000.00</w:t>
            </w:r>
            <w:r>
              <w:rPr>
                <w:rFonts w:ascii="仿宋_GB2312" w:hAnsi="仿宋_GB2312" w:cs="仿宋_GB2312" w:eastAsia="仿宋_GB2312"/>
                <w:sz w:val="20"/>
              </w:rPr>
              <w:t>×扣分分值；考核得分≥</w:t>
            </w:r>
            <w:r>
              <w:rPr>
                <w:rFonts w:ascii="仿宋_GB2312" w:hAnsi="仿宋_GB2312" w:cs="仿宋_GB2312" w:eastAsia="仿宋_GB2312"/>
                <w:sz w:val="20"/>
              </w:rPr>
              <w:t>75</w:t>
            </w:r>
            <w:r>
              <w:rPr>
                <w:rFonts w:ascii="仿宋_GB2312" w:hAnsi="仿宋_GB2312" w:cs="仿宋_GB2312" w:eastAsia="仿宋_GB2312"/>
                <w:sz w:val="20"/>
              </w:rPr>
              <w:t>分时，罚款金额（元）</w:t>
            </w:r>
            <w:r>
              <w:rPr>
                <w:rFonts w:ascii="仿宋_GB2312" w:hAnsi="仿宋_GB2312" w:cs="仿宋_GB2312" w:eastAsia="仿宋_GB2312"/>
                <w:sz w:val="20"/>
              </w:rPr>
              <w:t>=2000.00</w:t>
            </w:r>
            <w:r>
              <w:rPr>
                <w:rFonts w:ascii="仿宋_GB2312" w:hAnsi="仿宋_GB2312" w:cs="仿宋_GB2312" w:eastAsia="仿宋_GB2312"/>
                <w:sz w:val="20"/>
              </w:rPr>
              <w:t>×</w:t>
            </w:r>
            <w:r>
              <w:rPr>
                <w:rFonts w:ascii="仿宋_GB2312" w:hAnsi="仿宋_GB2312" w:cs="仿宋_GB2312" w:eastAsia="仿宋_GB2312"/>
                <w:sz w:val="20"/>
              </w:rPr>
              <w:t>15+3000.00</w:t>
            </w:r>
            <w:r>
              <w:rPr>
                <w:rFonts w:ascii="仿宋_GB2312" w:hAnsi="仿宋_GB2312" w:cs="仿宋_GB2312" w:eastAsia="仿宋_GB2312"/>
                <w:sz w:val="20"/>
              </w:rPr>
              <w:t>×（扣分分值</w:t>
            </w:r>
            <w:r>
              <w:rPr>
                <w:rFonts w:ascii="仿宋_GB2312" w:hAnsi="仿宋_GB2312" w:cs="仿宋_GB2312" w:eastAsia="仿宋_GB2312"/>
                <w:sz w:val="20"/>
              </w:rPr>
              <w:t>-15</w:t>
            </w:r>
            <w:r>
              <w:rPr>
                <w:rFonts w:ascii="仿宋_GB2312" w:hAnsi="仿宋_GB2312" w:cs="仿宋_GB2312" w:eastAsia="仿宋_GB2312"/>
                <w:sz w:val="20"/>
              </w:rPr>
              <w:t>），当罚款总额超过合同总额的</w:t>
            </w:r>
            <w:r>
              <w:rPr>
                <w:rFonts w:ascii="仿宋_GB2312" w:hAnsi="仿宋_GB2312" w:cs="仿宋_GB2312" w:eastAsia="仿宋_GB2312"/>
                <w:sz w:val="20"/>
              </w:rPr>
              <w:t>5%</w:t>
            </w:r>
            <w:r>
              <w:rPr>
                <w:rFonts w:ascii="仿宋_GB2312" w:hAnsi="仿宋_GB2312" w:cs="仿宋_GB2312" w:eastAsia="仿宋_GB2312"/>
                <w:sz w:val="20"/>
              </w:rPr>
              <w:t>时，按合同总额的</w:t>
            </w:r>
            <w:r>
              <w:rPr>
                <w:rFonts w:ascii="仿宋_GB2312" w:hAnsi="仿宋_GB2312" w:cs="仿宋_GB2312" w:eastAsia="仿宋_GB2312"/>
                <w:sz w:val="20"/>
              </w:rPr>
              <w:t>5%</w:t>
            </w:r>
            <w:r>
              <w:rPr>
                <w:rFonts w:ascii="仿宋_GB2312" w:hAnsi="仿宋_GB2312" w:cs="仿宋_GB2312" w:eastAsia="仿宋_GB2312"/>
                <w:sz w:val="20"/>
              </w:rPr>
              <w:t>进行罚款。</w:t>
            </w:r>
          </w:p>
          <w:p>
            <w:pPr>
              <w:pStyle w:val="null3"/>
              <w:ind w:firstLine="400"/>
            </w:pPr>
            <w:r>
              <w:rPr>
                <w:rFonts w:ascii="仿宋_GB2312" w:hAnsi="仿宋_GB2312" w:cs="仿宋_GB2312" w:eastAsia="仿宋_GB2312"/>
                <w:sz w:val="20"/>
              </w:rPr>
              <w:t>四</w:t>
            </w:r>
            <w:r>
              <w:rPr>
                <w:rFonts w:ascii="仿宋_GB2312" w:hAnsi="仿宋_GB2312" w:cs="仿宋_GB2312" w:eastAsia="仿宋_GB2312"/>
                <w:sz w:val="20"/>
              </w:rPr>
              <w:t>、付款要求</w:t>
            </w:r>
          </w:p>
          <w:p>
            <w:pPr>
              <w:pStyle w:val="null3"/>
              <w:ind w:firstLine="400"/>
            </w:pPr>
            <w:r>
              <w:rPr>
                <w:rFonts w:ascii="仿宋_GB2312" w:hAnsi="仿宋_GB2312" w:cs="仿宋_GB2312" w:eastAsia="仿宋_GB2312"/>
                <w:sz w:val="20"/>
              </w:rPr>
              <w:t>（一）付款方式：按阶段分期支付，均以财政拨款进度为前提</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预付款：合同签订后</w:t>
            </w:r>
            <w:r>
              <w:rPr>
                <w:rFonts w:ascii="仿宋_GB2312" w:hAnsi="仿宋_GB2312" w:cs="仿宋_GB2312" w:eastAsia="仿宋_GB2312"/>
                <w:sz w:val="20"/>
              </w:rPr>
              <w:t>10</w:t>
            </w:r>
            <w:r>
              <w:rPr>
                <w:rFonts w:ascii="仿宋_GB2312" w:hAnsi="仿宋_GB2312" w:cs="仿宋_GB2312" w:eastAsia="仿宋_GB2312"/>
                <w:sz w:val="20"/>
              </w:rPr>
              <w:t>个工作日内，供应商提交付款申请，支付</w:t>
            </w:r>
            <w:r>
              <w:rPr>
                <w:rFonts w:ascii="仿宋_GB2312" w:hAnsi="仿宋_GB2312" w:cs="仿宋_GB2312" w:eastAsia="仿宋_GB2312"/>
                <w:sz w:val="20"/>
              </w:rPr>
              <w:t>合同总金额</w:t>
            </w:r>
            <w:r>
              <w:rPr>
                <w:rFonts w:ascii="仿宋_GB2312" w:hAnsi="仿宋_GB2312" w:cs="仿宋_GB2312" w:eastAsia="仿宋_GB2312"/>
                <w:sz w:val="20"/>
              </w:rPr>
              <w:t>的</w:t>
            </w:r>
            <w:r>
              <w:rPr>
                <w:rFonts w:ascii="仿宋_GB2312" w:hAnsi="仿宋_GB2312" w:cs="仿宋_GB2312" w:eastAsia="仿宋_GB2312"/>
                <w:sz w:val="20"/>
              </w:rPr>
              <w:t>40%</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进度款：所有赛事完成且中期验收合格后</w:t>
            </w:r>
            <w:r>
              <w:rPr>
                <w:rFonts w:ascii="仿宋_GB2312" w:hAnsi="仿宋_GB2312" w:cs="仿宋_GB2312" w:eastAsia="仿宋_GB2312"/>
                <w:sz w:val="20"/>
              </w:rPr>
              <w:t>10</w:t>
            </w:r>
            <w:r>
              <w:rPr>
                <w:rFonts w:ascii="仿宋_GB2312" w:hAnsi="仿宋_GB2312" w:cs="仿宋_GB2312" w:eastAsia="仿宋_GB2312"/>
                <w:sz w:val="20"/>
              </w:rPr>
              <w:t>个工作日内，支付</w:t>
            </w:r>
            <w:r>
              <w:rPr>
                <w:rFonts w:ascii="仿宋_GB2312" w:hAnsi="仿宋_GB2312" w:cs="仿宋_GB2312" w:eastAsia="仿宋_GB2312"/>
                <w:sz w:val="20"/>
              </w:rPr>
              <w:t>合同总金额</w:t>
            </w:r>
            <w:r>
              <w:rPr>
                <w:rFonts w:ascii="仿宋_GB2312" w:hAnsi="仿宋_GB2312" w:cs="仿宋_GB2312" w:eastAsia="仿宋_GB2312"/>
                <w:sz w:val="20"/>
              </w:rPr>
              <w:t>的</w:t>
            </w:r>
            <w:r>
              <w:rPr>
                <w:rFonts w:ascii="仿宋_GB2312" w:hAnsi="仿宋_GB2312" w:cs="仿宋_GB2312" w:eastAsia="仿宋_GB2312"/>
                <w:sz w:val="20"/>
              </w:rPr>
              <w:t>40%</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尾款：项目全部完成、最终验收合格，且供应商提交完整结算资料及发票后</w:t>
            </w:r>
            <w:r>
              <w:rPr>
                <w:rFonts w:ascii="仿宋_GB2312" w:hAnsi="仿宋_GB2312" w:cs="仿宋_GB2312" w:eastAsia="仿宋_GB2312"/>
                <w:sz w:val="20"/>
              </w:rPr>
              <w:t>10</w:t>
            </w:r>
            <w:r>
              <w:rPr>
                <w:rFonts w:ascii="仿宋_GB2312" w:hAnsi="仿宋_GB2312" w:cs="仿宋_GB2312" w:eastAsia="仿宋_GB2312"/>
                <w:sz w:val="20"/>
              </w:rPr>
              <w:t>个工作日内，支付剩余</w:t>
            </w:r>
            <w:r>
              <w:rPr>
                <w:rFonts w:ascii="仿宋_GB2312" w:hAnsi="仿宋_GB2312" w:cs="仿宋_GB2312" w:eastAsia="仿宋_GB2312"/>
                <w:sz w:val="20"/>
              </w:rPr>
              <w:t>20%</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（二）付款条件</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供应商需提供合法有效发票及对应阶段工作完成证明；</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各阶段验收合格，无违规违约行为；</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若存在超预算、未按约定执行等情况，采购方有权暂缓付款，直至问题整改完毕。</w:t>
            </w:r>
          </w:p>
          <w:p>
            <w:pPr>
              <w:pStyle w:val="null3"/>
              <w:ind w:firstLine="400"/>
            </w:pPr>
            <w:r>
              <w:rPr>
                <w:rFonts w:ascii="仿宋_GB2312" w:hAnsi="仿宋_GB2312" w:cs="仿宋_GB2312" w:eastAsia="仿宋_GB2312"/>
                <w:sz w:val="20"/>
              </w:rPr>
              <w:t>五</w:t>
            </w:r>
            <w:r>
              <w:rPr>
                <w:rFonts w:ascii="仿宋_GB2312" w:hAnsi="仿宋_GB2312" w:cs="仿宋_GB2312" w:eastAsia="仿宋_GB2312"/>
                <w:sz w:val="20"/>
              </w:rPr>
              <w:t>、保障措施</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组织保障：成立项目专项工作组，供应商配备项目经理</w:t>
            </w:r>
            <w:r>
              <w:rPr>
                <w:rFonts w:ascii="仿宋_GB2312" w:hAnsi="仿宋_GB2312" w:cs="仿宋_GB2312" w:eastAsia="仿宋_GB2312"/>
                <w:sz w:val="20"/>
              </w:rPr>
              <w:t>1</w:t>
            </w:r>
            <w:r>
              <w:rPr>
                <w:rFonts w:ascii="仿宋_GB2312" w:hAnsi="仿宋_GB2312" w:cs="仿宋_GB2312" w:eastAsia="仿宋_GB2312"/>
                <w:sz w:val="20"/>
              </w:rPr>
              <w:t>名、赛事执行人员≥</w:t>
            </w:r>
            <w:r>
              <w:rPr>
                <w:rFonts w:ascii="仿宋_GB2312" w:hAnsi="仿宋_GB2312" w:cs="仿宋_GB2312" w:eastAsia="仿宋_GB2312"/>
                <w:sz w:val="20"/>
              </w:rPr>
              <w:t>5</w:t>
            </w:r>
            <w:r>
              <w:rPr>
                <w:rFonts w:ascii="仿宋_GB2312" w:hAnsi="仿宋_GB2312" w:cs="仿宋_GB2312" w:eastAsia="仿宋_GB2312"/>
                <w:sz w:val="20"/>
              </w:rPr>
              <w:t>名，采购方指定专人对接协调；</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沟通保障：建立周例会制度，每周召开进度沟通会，及时解决实施过程中的问题；</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应急保障：针对天气变化、器材故障、人员突发状况等制定应急预案，确保赛事顺利推进；</w:t>
            </w:r>
          </w:p>
          <w:p>
            <w:pPr>
              <w:pStyle w:val="null3"/>
            </w:pPr>
            <w:r>
              <w:rPr>
                <w:rFonts w:ascii="仿宋_GB2312" w:hAnsi="仿宋_GB2312" w:cs="仿宋_GB2312" w:eastAsia="仿宋_GB2312"/>
                <w:sz w:val="20"/>
              </w:rPr>
              <w:t xml:space="preserve">        4.</w:t>
            </w:r>
            <w:r>
              <w:rPr>
                <w:rFonts w:ascii="仿宋_GB2312" w:hAnsi="仿宋_GB2312" w:cs="仿宋_GB2312" w:eastAsia="仿宋_GB2312"/>
                <w:sz w:val="20"/>
              </w:rPr>
              <w:t>监督保障：采购方全程监督赛事执行，对关键环节（如裁判执裁、安全保障）进行现场核查，确保服务质量。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供应商提供的比赛场地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合同签订后10个工作日内，供应商提交付款申请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所有赛事完成且中期验收合格后10个工作日内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项目全部完成、最终验收合格，且供应商提交完整结算资料及发票后10个工作日内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引起的或与本合同有关的争议，双方应友好协商解决。协商不成时，双方均同意采用以下第（1）种争议解决方式：（1）甲、乙双方均同意向（甲方所在地人民法院）提起诉讼。（2）甲、乙双方均同意向（仲裁委员会）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一、供应商务必在开标截止时间30分钟前，通过项目电子化交易系统进行签到，如未进行签到，产生的一起后果由供应商自行承担。 二、供应商的磋商报价是供应商响应磋商项目要求的全部工作内容的价格体现，包括供应商完成本项目所需的直接费、间接费、利润、税金及其它相关的一切费用。在提供服务的过程中的任何遗漏，均由成交供应商承担，采购人将不再支付任何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供应商需在项目电子化交易系统中按要求填写《响应函》完成承诺进行电子签章,并按附件格式要求提供相关资格证明材料。</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提供具有财务审计资质单位出具的2024或2025年度财务报告或磋商前六个月内其基本账户银行出具的资信证明或财政部门认可的政府采购专业担保机构出具的担保函，以上形式的证明资料提供任何一种即可。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提供具有财务审计资质单位出具的2024或2025年度财务报告或磋商前六个月内其基本账户银行出具的资信证明或财政部门认可的政府采购专业担保机构出具的担保函，以上形式的证明资料提供任何一种即可。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交磋商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磋商文件递交截止时间前一年内至少一个月的纳税证明或完税证明（增值税、营业税、企业所得税至少提供一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法定代表人授权他人参加磋商的，须提供法定代表人授权委托书，被授权代表本单位证明：有效的劳动合同或磋商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不强制要求供应商提供查询截图，以开标当天查询结果为评审依据)</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1.评审中出现下列情形之一的，磋商小组应当启动异常低价投标审查程序： （1）投标报价低于全部通过符合性审查供应商投标报价平均值65%的，即投标报价&lt;全部通过符合性审查供应商投标报价平均值×65%； （2）投标报价低于通过符合性审查的次低报价供应商投标报价65%的，即投标报价&lt;通过符合性审查的次低报价供应商投标报价×65%； （3）投标报价低于采购项目最高限价65%的，即投标报价&lt;采购项目最高限价×65%； （4）磋商小组认为供应商报价过低，有可能影响产品质量或者不能诚信履约的其他情形。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业绩证明材料 分项报价表 商务应答表 资格证明材料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供应商提供2023年1月1日至今同类赛事业绩，提供合同复印件或中标（成交）通知书加盖公章，每提供一份得3分，满分15分。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vMerge/>
          </w:tcPr>
          <w:p/>
        </w:tc>
        <w:tc>
          <w:tcPr>
            <w:tcW w:type="dxa" w:w="1661"/>
          </w:tcPr>
          <w:p>
            <w:pPr>
              <w:pStyle w:val="null3"/>
            </w:pPr>
            <w:r>
              <w:rPr>
                <w:rFonts w:ascii="仿宋_GB2312" w:hAnsi="仿宋_GB2312" w:cs="仿宋_GB2312" w:eastAsia="仿宋_GB2312"/>
              </w:rPr>
              <w:t>13项赛事编排组织方案</w:t>
            </w:r>
          </w:p>
        </w:tc>
        <w:tc>
          <w:tcPr>
            <w:tcW w:type="dxa" w:w="2492"/>
          </w:tcPr>
          <w:p>
            <w:pPr>
              <w:pStyle w:val="null3"/>
            </w:pPr>
            <w:r>
              <w:rPr>
                <w:rFonts w:ascii="仿宋_GB2312" w:hAnsi="仿宋_GB2312" w:cs="仿宋_GB2312" w:eastAsia="仿宋_GB2312"/>
              </w:rPr>
              <w:t>①田径运动会②艺术展演③青少年足球联赛④足球比赛⑤篮球比赛⑥跆拳道比赛⑦三跳比赛⑧羽毛球赛⑨乒乓球赛⑩游泳比赛⑪击剑比赛⑫排球比赛⑬围棋比赛。 一、评审标准： 1.完整性：方案内容完整、全面，对评审内容中的要求有详细描述及说明； 2.可实施性：切合本项目实际情况，实施步骤清晰、合理； 3.针对性：方案能够紧扣项目实际情况，内容科学合理。 二、赋分标准： ①田径运动会：完全满足评审标准得3分，每有一项不满足扣1分，扣完为止； ②艺术展演：完全满足评审标准得3分，每有一项不满足扣1分，扣完为止； ③青少年足球联赛：完全满足评审标准得3分，每有一项不满足扣1分，扣完为止； ④足球比赛：完全满足评审标准得3分，每有一项不满足扣1分，扣完为止； ⑤篮球比赛：完全满足评审标准得3分，每有一项不满足扣1分，扣完为止； ⑥跆拳道比赛：完全满足评审标准得3分，每有一项不满足扣1分，扣完为止； ⑦三跳比赛：完全满足评审标准得3分，每有一项不满足扣1分，扣完为止； ⑧羽毛球赛：完全满足评审标准得3分，每有一项不满足扣1分，扣完为止； ⑨乒乓球赛：完全满足评审标准得3分，每有一项不满足扣1分，扣完为止； ⑩游泳比赛：完全满足评审标准得3分，每有一项不满足扣1分，扣完为止； ⑪击剑比赛：完全满足评审标准得3分，每有一项不满足扣1分，扣完为止； ⑫排球比赛：完全满足评审标准得3分，每有一项不满足扣1分，扣完为止； ⑬围棋比赛：完全满足评审标准得3分，每有一项不满足扣1分，扣完为止。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针对本项目提供①场地布置方案②安全应急预案。 一、评审标准： 1.完整性：方案内容完整、全面，对评审内容中的要求有详细描述及说明； 2.可实施性：切合本项目实际情况，实施步骤清晰、合理； 3.针对性：方案能够紧扣项目实际情况，内容科学合理。 二、赋分标准： ①场地布置方案：完全满足评审标准得3分，每有一项不满足扣1分，扣完为止； ②安全应急预案：完全满足评审标准得3分，每有一项不满足扣1分，扣完为止。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专业能力</w:t>
            </w:r>
          </w:p>
        </w:tc>
        <w:tc>
          <w:tcPr>
            <w:tcW w:type="dxa" w:w="2492"/>
          </w:tcPr>
          <w:p>
            <w:pPr>
              <w:pStyle w:val="null3"/>
            </w:pPr>
            <w:r>
              <w:rPr>
                <w:rFonts w:ascii="仿宋_GB2312" w:hAnsi="仿宋_GB2312" w:cs="仿宋_GB2312" w:eastAsia="仿宋_GB2312"/>
              </w:rPr>
              <w:t>针对本项目提供①器材保障能力②医疗服务保障措施③物料制作服务④精彩瞬间图片、视频采集服务。 一、评审标准： 1.完整性：方案内容完整、全面，对评审内容中的要求有详细描述及说明； 2.可实施性：切合本项目实际情况，实施步骤清晰、合理； 3.针对性：方案能够紧扣项目实际情况，内容科学合理。 二、赋分标准： ①器材保障能力：完全满足评审标准得3分，每有一项不满足扣1分，扣完为止； ②医疗服务保障措施：完全满足评审标准得3分，每有一项不满足扣1分，扣完为止； ③物料制作服务：完全满足评审标准得3分，每有一项不满足扣1分，扣完为止； ④精彩瞬间图片、视频采集服务：完全满足评审标准得3分，每有一项不满足扣1分，扣完为止。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针对本项目提供团队人员配备情况，人员数量充足，安排合理，经验丰富，分工明确（提供人员信息及相关证明材料）。 一、评审标准： 1.完整性：配备内容完整、全面，对评审内容中的要求有详细描述及说明； 2.可实施性：切合本项目实际情况，实施步骤清晰、合理； 3.针对性：配备能够紧扣项目实际情况，内容科学合理。 二、赋分标准： 完全满足评审标准得3分，每有一项不满足扣1分，扣完为止。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裁判团队</w:t>
            </w:r>
          </w:p>
        </w:tc>
        <w:tc>
          <w:tcPr>
            <w:tcW w:type="dxa" w:w="2492"/>
          </w:tcPr>
          <w:p>
            <w:pPr>
              <w:pStyle w:val="null3"/>
            </w:pPr>
            <w:r>
              <w:rPr>
                <w:rFonts w:ascii="仿宋_GB2312" w:hAnsi="仿宋_GB2312" w:cs="仿宋_GB2312" w:eastAsia="仿宋_GB2312"/>
              </w:rPr>
              <w:t>针对本项目提供具备相应资质的裁判人员（一级及以上裁判占比≥30%）得1分；（一级及以上裁判占比≥40%）得2分；（一级及以上裁判占比≥50%）得3分。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保障服务</w:t>
            </w:r>
          </w:p>
        </w:tc>
        <w:tc>
          <w:tcPr>
            <w:tcW w:type="dxa" w:w="2492"/>
          </w:tcPr>
          <w:p>
            <w:pPr>
              <w:pStyle w:val="null3"/>
            </w:pPr>
            <w:r>
              <w:rPr>
                <w:rFonts w:ascii="仿宋_GB2312" w:hAnsi="仿宋_GB2312" w:cs="仿宋_GB2312" w:eastAsia="仿宋_GB2312"/>
              </w:rPr>
              <w:t>针对本项目提供赛事全程资料收集与整理、赛事后续保障及问题整改响应速度等。 一、评审标准： 1.完整性：方案内容完整、全面，对评审内容中的要求有详细描述及说明； 2.针对性：方案能够紧扣项目实际情况，内容科学合理。 二、赋分标准： 完全满足评审标准得2分，每有一项不满足扣1分，扣完为止。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满足磋商文件要求,以本次最低有效磋商报价单价为基准价，其价格分为满分。报价得分=（评审基准价／磋商报价单价）×20%×100。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