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A73D6">
      <w:pPr>
        <w:pStyle w:val="2"/>
        <w:keepNext w:val="0"/>
        <w:keepLines w:val="0"/>
        <w:pageBreakBefore w:val="0"/>
        <w:widowControl w:val="0"/>
        <w:numPr>
          <w:ilvl w:val="0"/>
          <w:numId w:val="0"/>
        </w:numPr>
        <w:wordWrap/>
        <w:overflowPunct/>
        <w:topLinePunct w:val="0"/>
        <w:bidi w:val="0"/>
        <w:spacing w:line="360" w:lineRule="auto"/>
        <w:jc w:val="center"/>
        <w:rPr>
          <w:rFonts w:hint="eastAsia" w:ascii="宋体" w:hAnsi="宋体" w:eastAsia="宋体" w:cs="宋体"/>
          <w:b/>
          <w:bCs/>
          <w:color w:val="auto"/>
          <w:sz w:val="28"/>
          <w:szCs w:val="28"/>
          <w:highlight w:val="none"/>
          <w:lang w:val="zh-CN"/>
        </w:rPr>
      </w:pPr>
      <w:bookmarkStart w:id="0" w:name="_Toc17961"/>
      <w:bookmarkStart w:id="1" w:name="_Toc1399"/>
      <w:bookmarkStart w:id="9" w:name="_GoBack"/>
      <w:r>
        <w:rPr>
          <w:rFonts w:hint="eastAsia" w:ascii="宋体" w:hAnsi="宋体" w:eastAsia="宋体" w:cs="宋体"/>
          <w:b/>
          <w:bCs/>
          <w:color w:val="auto"/>
          <w:sz w:val="28"/>
          <w:szCs w:val="28"/>
          <w:highlight w:val="none"/>
          <w:lang w:val="zh-CN"/>
        </w:rPr>
        <w:t>合同条款及格式（参考）</w:t>
      </w:r>
      <w:bookmarkEnd w:id="0"/>
      <w:bookmarkEnd w:id="1"/>
    </w:p>
    <w:p w14:paraId="27F9A9F3">
      <w:pPr>
        <w:widowControl w:val="0"/>
        <w:tabs>
          <w:tab w:val="left" w:pos="735"/>
        </w:tabs>
        <w:autoSpaceDE w:val="0"/>
        <w:autoSpaceDN w:val="0"/>
        <w:adjustRightInd w:val="0"/>
        <w:snapToGrid w:val="0"/>
        <w:spacing w:before="420" w:beforeLines="100" w:line="360" w:lineRule="auto"/>
        <w:ind w:firstLine="629"/>
        <w:jc w:val="both"/>
        <w:rPr>
          <w:rFonts w:hint="eastAsia" w:asciiTheme="minorEastAsia" w:hAnsiTheme="minorEastAsia" w:eastAsiaTheme="minorEastAsia" w:cstheme="minorEastAsia"/>
          <w:b/>
          <w:bCs/>
          <w:color w:val="auto"/>
          <w:kern w:val="2"/>
          <w:sz w:val="21"/>
          <w:szCs w:val="21"/>
          <w:highlight w:val="none"/>
          <w:lang w:val="zh-CN"/>
        </w:rPr>
      </w:pPr>
      <w:r>
        <w:rPr>
          <w:rFonts w:hint="eastAsia" w:asciiTheme="minorEastAsia" w:hAnsiTheme="minorEastAsia" w:eastAsiaTheme="minorEastAsia" w:cstheme="minorEastAsia"/>
          <w:b/>
          <w:bCs/>
          <w:color w:val="auto"/>
          <w:kern w:val="2"/>
          <w:sz w:val="21"/>
          <w:szCs w:val="21"/>
          <w:highlight w:val="none"/>
          <w:lang w:val="zh-CN"/>
        </w:rPr>
        <w:t>甲方：</w:t>
      </w:r>
      <w:r>
        <w:rPr>
          <w:rFonts w:hint="eastAsia" w:asciiTheme="minorEastAsia" w:hAnsiTheme="minorEastAsia" w:eastAsiaTheme="minorEastAsia" w:cstheme="minorEastAsia"/>
          <w:bCs/>
          <w:color w:val="auto"/>
          <w:kern w:val="2"/>
          <w:sz w:val="21"/>
          <w:szCs w:val="21"/>
          <w:highlight w:val="none"/>
          <w:lang w:val="zh-CN"/>
        </w:rPr>
        <w:t>（前款所称采购人）     住所：</w:t>
      </w:r>
    </w:p>
    <w:p w14:paraId="1BB251E2">
      <w:pPr>
        <w:widowControl w:val="0"/>
        <w:tabs>
          <w:tab w:val="left" w:pos="735"/>
        </w:tabs>
        <w:autoSpaceDE w:val="0"/>
        <w:autoSpaceDN w:val="0"/>
        <w:adjustRightInd w:val="0"/>
        <w:snapToGrid w:val="0"/>
        <w:spacing w:line="360" w:lineRule="auto"/>
        <w:ind w:firstLine="631"/>
        <w:jc w:val="both"/>
        <w:rPr>
          <w:rFonts w:hint="eastAsia" w:asciiTheme="minorEastAsia" w:hAnsiTheme="minorEastAsia" w:eastAsiaTheme="minorEastAsia" w:cstheme="minorEastAsia"/>
          <w:bCs/>
          <w:color w:val="auto"/>
          <w:kern w:val="2"/>
          <w:sz w:val="21"/>
          <w:szCs w:val="21"/>
          <w:highlight w:val="none"/>
          <w:lang w:val="zh-CN"/>
        </w:rPr>
      </w:pPr>
      <w:r>
        <w:rPr>
          <w:rFonts w:hint="eastAsia" w:asciiTheme="minorEastAsia" w:hAnsiTheme="minorEastAsia" w:eastAsiaTheme="minorEastAsia" w:cstheme="minorEastAsia"/>
          <w:b/>
          <w:bCs/>
          <w:color w:val="auto"/>
          <w:kern w:val="2"/>
          <w:sz w:val="21"/>
          <w:szCs w:val="21"/>
          <w:highlight w:val="none"/>
          <w:lang w:val="zh-CN"/>
        </w:rPr>
        <w:t>乙方：</w:t>
      </w:r>
      <w:r>
        <w:rPr>
          <w:rFonts w:hint="eastAsia" w:asciiTheme="minorEastAsia" w:hAnsiTheme="minorEastAsia" w:eastAsiaTheme="minorEastAsia" w:cstheme="minorEastAsia"/>
          <w:bCs/>
          <w:color w:val="auto"/>
          <w:kern w:val="2"/>
          <w:sz w:val="21"/>
          <w:szCs w:val="21"/>
          <w:highlight w:val="none"/>
          <w:lang w:val="zh-CN"/>
        </w:rPr>
        <w:t>（前款所称中标人）     住所：</w:t>
      </w:r>
    </w:p>
    <w:p w14:paraId="025C5394">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2" w:name="_Toc19515384"/>
      <w:r>
        <w:rPr>
          <w:rFonts w:hint="eastAsia" w:asciiTheme="minorEastAsia" w:hAnsiTheme="minorEastAsia" w:eastAsiaTheme="minorEastAsia" w:cstheme="minorEastAsia"/>
          <w:b/>
          <w:color w:val="auto"/>
          <w:kern w:val="2"/>
          <w:sz w:val="21"/>
          <w:szCs w:val="21"/>
          <w:highlight w:val="none"/>
        </w:rPr>
        <w:t>一、合同内容（标的、数量、质量等）:</w:t>
      </w:r>
      <w:bookmarkEnd w:id="2"/>
    </w:p>
    <w:p w14:paraId="7A217649">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3" w:name="_Toc19515385"/>
      <w:r>
        <w:rPr>
          <w:rFonts w:hint="eastAsia" w:asciiTheme="minorEastAsia" w:hAnsiTheme="minorEastAsia" w:eastAsiaTheme="minorEastAsia" w:cstheme="minorEastAsia"/>
          <w:b/>
          <w:color w:val="auto"/>
          <w:kern w:val="2"/>
          <w:sz w:val="21"/>
          <w:szCs w:val="21"/>
          <w:highlight w:val="none"/>
        </w:rPr>
        <w:t>二、合同价款</w:t>
      </w:r>
      <w:bookmarkEnd w:id="3"/>
    </w:p>
    <w:p w14:paraId="6550288B">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u w:val="single"/>
          <w:lang w:val="en-US" w:eastAsia="zh-CN"/>
        </w:rPr>
      </w:pPr>
      <w:r>
        <w:rPr>
          <w:rFonts w:hint="eastAsia" w:asciiTheme="minorEastAsia" w:hAnsiTheme="minorEastAsia" w:eastAsiaTheme="minorEastAsia" w:cstheme="minorEastAsia"/>
          <w:color w:val="auto"/>
          <w:kern w:val="2"/>
          <w:sz w:val="21"/>
          <w:szCs w:val="21"/>
          <w:highlight w:val="none"/>
        </w:rPr>
        <w:t>1、合同总价：</w:t>
      </w:r>
      <w:r>
        <w:rPr>
          <w:rFonts w:hint="eastAsia" w:asciiTheme="minorEastAsia" w:hAnsiTheme="minorEastAsia" w:eastAsiaTheme="minorEastAsia" w:cstheme="minorEastAsia"/>
          <w:color w:val="auto"/>
          <w:kern w:val="2"/>
          <w:sz w:val="21"/>
          <w:szCs w:val="21"/>
          <w:highlight w:val="none"/>
          <w:u w:val="single"/>
          <w:lang w:val="en-US" w:eastAsia="zh-CN"/>
        </w:rPr>
        <w:t xml:space="preserve">                </w:t>
      </w:r>
    </w:p>
    <w:p w14:paraId="73A4D105">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2、合同总价包括：</w:t>
      </w:r>
      <w:r>
        <w:rPr>
          <w:rFonts w:hint="eastAsia" w:asciiTheme="minorEastAsia" w:hAnsiTheme="minorEastAsia" w:eastAsiaTheme="minorEastAsia" w:cstheme="minorEastAsia"/>
          <w:color w:val="auto"/>
          <w:kern w:val="2"/>
          <w:sz w:val="21"/>
          <w:szCs w:val="21"/>
          <w:highlight w:val="none"/>
          <w:lang w:val="en-US" w:eastAsia="zh-CN"/>
        </w:rPr>
        <w:t>项目实施过程中</w:t>
      </w:r>
      <w:r>
        <w:rPr>
          <w:rFonts w:hint="eastAsia" w:asciiTheme="minorEastAsia" w:hAnsiTheme="minorEastAsia" w:eastAsiaTheme="minorEastAsia" w:cstheme="minorEastAsia"/>
          <w:color w:val="auto"/>
          <w:kern w:val="2"/>
          <w:sz w:val="21"/>
          <w:szCs w:val="21"/>
          <w:highlight w:val="none"/>
        </w:rPr>
        <w:t>一切相关费用</w:t>
      </w:r>
      <w:r>
        <w:rPr>
          <w:rFonts w:hint="eastAsia" w:asciiTheme="minorEastAsia" w:hAnsiTheme="minorEastAsia" w:eastAsiaTheme="minorEastAsia" w:cstheme="minorEastAsia"/>
          <w:color w:val="auto"/>
          <w:kern w:val="2"/>
          <w:sz w:val="21"/>
          <w:szCs w:val="21"/>
          <w:highlight w:val="none"/>
        </w:rPr>
        <w:t>。</w:t>
      </w:r>
    </w:p>
    <w:p w14:paraId="3EBD4D82">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3、合同总价一次包死，不受市场价变化的影响。</w:t>
      </w:r>
    </w:p>
    <w:p w14:paraId="09E26A5A">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4" w:name="_Toc19515386"/>
      <w:r>
        <w:rPr>
          <w:rFonts w:hint="eastAsia" w:asciiTheme="minorEastAsia" w:hAnsiTheme="minorEastAsia" w:eastAsiaTheme="minorEastAsia" w:cstheme="minorEastAsia"/>
          <w:b/>
          <w:color w:val="auto"/>
          <w:kern w:val="2"/>
          <w:sz w:val="21"/>
          <w:szCs w:val="21"/>
          <w:highlight w:val="none"/>
        </w:rPr>
        <w:t>三、合同结算</w:t>
      </w:r>
      <w:bookmarkEnd w:id="4"/>
    </w:p>
    <w:p w14:paraId="3B151FF8">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w:t>
      </w:r>
      <w:bookmarkStart w:id="5" w:name="_Toc19515387"/>
      <w:r>
        <w:rPr>
          <w:rFonts w:hint="eastAsia" w:asciiTheme="minorEastAsia" w:hAnsiTheme="minorEastAsia" w:eastAsiaTheme="minorEastAsia" w:cstheme="minorEastAsia"/>
          <w:color w:val="auto"/>
          <w:kern w:val="2"/>
          <w:sz w:val="21"/>
          <w:szCs w:val="21"/>
          <w:highlight w:val="none"/>
        </w:rPr>
        <w:t>资金支付</w:t>
      </w:r>
      <w:r>
        <w:rPr>
          <w:rFonts w:hint="eastAsia" w:asciiTheme="minorEastAsia" w:hAnsiTheme="minorEastAsia" w:eastAsiaTheme="minorEastAsia" w:cstheme="minorEastAsia"/>
          <w:color w:val="auto"/>
          <w:kern w:val="2"/>
          <w:sz w:val="21"/>
          <w:szCs w:val="21"/>
          <w:highlight w:val="none"/>
          <w:lang w:val="en-US" w:eastAsia="zh-CN"/>
        </w:rPr>
        <w:t>方式</w:t>
      </w:r>
      <w:r>
        <w:rPr>
          <w:rFonts w:hint="eastAsia" w:asciiTheme="minorEastAsia" w:hAnsiTheme="minorEastAsia" w:eastAsiaTheme="minorEastAsia" w:cstheme="minorEastAsia"/>
          <w:color w:val="auto"/>
          <w:kern w:val="2"/>
          <w:sz w:val="21"/>
          <w:szCs w:val="21"/>
          <w:highlight w:val="none"/>
        </w:rPr>
        <w:t>及条件：</w:t>
      </w:r>
    </w:p>
    <w:p w14:paraId="231904B1">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w:t>
      </w:r>
      <w:r>
        <w:rPr>
          <w:rFonts w:hint="eastAsia" w:asciiTheme="minorEastAsia" w:hAnsiTheme="minorEastAsia" w:eastAsiaTheme="minorEastAsia" w:cstheme="minorEastAsia"/>
          <w:color w:val="auto"/>
          <w:kern w:val="2"/>
          <w:sz w:val="21"/>
          <w:szCs w:val="21"/>
          <w:highlight w:val="none"/>
          <w:lang w:val="en-US" w:eastAsia="zh-CN"/>
        </w:rPr>
        <w:t>1</w:t>
      </w:r>
      <w:r>
        <w:rPr>
          <w:rFonts w:hint="eastAsia" w:asciiTheme="minorEastAsia" w:hAnsiTheme="minorEastAsia" w:eastAsiaTheme="minorEastAsia" w:cstheme="minorEastAsia"/>
          <w:color w:val="auto"/>
          <w:kern w:val="2"/>
          <w:sz w:val="21"/>
          <w:szCs w:val="21"/>
          <w:highlight w:val="none"/>
        </w:rPr>
        <w:t>）付款方式：按阶段分期支付，均以财政拨款进度为前提</w:t>
      </w:r>
    </w:p>
    <w:p w14:paraId="04E8EE10">
      <w:pPr>
        <w:widowControl w:val="0"/>
        <w:adjustRightInd w:val="0"/>
        <w:snapToGrid w:val="0"/>
        <w:spacing w:line="360" w:lineRule="auto"/>
        <w:ind w:firstLine="420" w:firstLineChars="200"/>
        <w:jc w:val="both"/>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①预付款：合同签订后10个工作日内，供应商提交付款申请，支付合同总金额的40%；</w:t>
      </w:r>
    </w:p>
    <w:p w14:paraId="2950618E">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b w:val="0"/>
          <w:bCs w:val="0"/>
          <w:color w:val="auto"/>
          <w:kern w:val="0"/>
          <w:sz w:val="21"/>
          <w:szCs w:val="21"/>
          <w:highlight w:val="none"/>
          <w:lang w:val="en-US" w:eastAsia="zh-CN"/>
        </w:rPr>
        <w:t>②进度款：所有赛事完成且中期验收合格后10个工作日内，支付合同总金额的40%；</w:t>
      </w:r>
    </w:p>
    <w:p w14:paraId="06810DAE">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③尾款：项目全部完成、最终验收合格，且供应商提交完整结算资料及发票后10个工作日内，支付剩余20%。</w:t>
      </w:r>
    </w:p>
    <w:p w14:paraId="322190DF">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lang w:val="en-US" w:eastAsia="zh-CN"/>
        </w:rPr>
      </w:pPr>
      <w:r>
        <w:rPr>
          <w:rFonts w:hint="eastAsia" w:asciiTheme="minorEastAsia" w:hAnsiTheme="minorEastAsia" w:eastAsiaTheme="minorEastAsia" w:cstheme="minorEastAsia"/>
          <w:color w:val="auto"/>
          <w:kern w:val="2"/>
          <w:sz w:val="21"/>
          <w:szCs w:val="21"/>
          <w:highlight w:val="none"/>
          <w:lang w:val="en-US" w:eastAsia="zh-CN"/>
        </w:rPr>
        <w:t>（2）付款条件</w:t>
      </w:r>
    </w:p>
    <w:p w14:paraId="08DE30FA">
      <w:pPr>
        <w:widowControl w:val="0"/>
        <w:adjustRightInd w:val="0"/>
        <w:snapToGrid w:val="0"/>
        <w:spacing w:line="360" w:lineRule="auto"/>
        <w:ind w:firstLine="420" w:firstLineChars="200"/>
        <w:jc w:val="both"/>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①供应商需提供合法有效发票及对应阶段工作完成证明；</w:t>
      </w:r>
    </w:p>
    <w:p w14:paraId="280A0CDB">
      <w:pPr>
        <w:widowControl w:val="0"/>
        <w:adjustRightInd w:val="0"/>
        <w:snapToGrid w:val="0"/>
        <w:spacing w:line="360" w:lineRule="auto"/>
        <w:ind w:firstLine="420" w:firstLineChars="200"/>
        <w:jc w:val="both"/>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②各阶段验收合格，无违规违约行为；</w:t>
      </w:r>
    </w:p>
    <w:p w14:paraId="2B04D365">
      <w:pPr>
        <w:widowControl w:val="0"/>
        <w:adjustRightInd w:val="0"/>
        <w:snapToGrid w:val="0"/>
        <w:spacing w:line="360" w:lineRule="auto"/>
        <w:ind w:firstLine="420" w:firstLineChars="200"/>
        <w:jc w:val="both"/>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③若存在超预算、未按约定执行等情况，采购方有权暂缓付款，直至问题整改完毕。</w:t>
      </w:r>
    </w:p>
    <w:p w14:paraId="65C19FA1">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2、结算方式：银行转账。</w:t>
      </w:r>
    </w:p>
    <w:p w14:paraId="79A57670">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3、结算单位：由甲方负责结算，乙方根据支付比例开具当次结算合同价款的发票交甲方。</w:t>
      </w:r>
    </w:p>
    <w:p w14:paraId="03E8F849">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四、履行期限、地点及方式</w:t>
      </w:r>
      <w:bookmarkEnd w:id="5"/>
    </w:p>
    <w:p w14:paraId="130860C5">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1、履行期限：</w:t>
      </w:r>
      <w:r>
        <w:rPr>
          <w:rFonts w:hint="eastAsia" w:asciiTheme="minorEastAsia" w:hAnsiTheme="minorEastAsia" w:cstheme="minorEastAsia"/>
          <w:b w:val="0"/>
          <w:bCs w:val="0"/>
          <w:color w:val="auto"/>
          <w:kern w:val="0"/>
          <w:sz w:val="21"/>
          <w:szCs w:val="21"/>
          <w:highlight w:val="none"/>
          <w:lang w:val="en-US" w:eastAsia="zh-CN"/>
        </w:rPr>
        <w:t>自合同签订之日起至2026年12月31日</w:t>
      </w:r>
    </w:p>
    <w:p w14:paraId="5F2C4FB8">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2、地点：按照采购人要求</w:t>
      </w:r>
    </w:p>
    <w:p w14:paraId="4D1A66B8">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3、方式：按照采购人要求</w:t>
      </w:r>
    </w:p>
    <w:p w14:paraId="41472F4B">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五、服务内容：</w:t>
      </w:r>
    </w:p>
    <w:p w14:paraId="77663674">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1.赛事组织执行服务：包括13项比赛（田径运动会、足球联赛、艺术展演等）的赛程编排、场地布置、人员协调等全流程执行。</w:t>
      </w:r>
    </w:p>
    <w:p w14:paraId="4E6D5D39">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2.专业裁判服务：按赛事需求配备足额具备相应资质的裁判人员（一级及以上裁判占比≥30%），负责比赛执裁、成绩统计等工作。</w:t>
      </w:r>
    </w:p>
    <w:p w14:paraId="5AF00CA4">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3.器材租赁与保障：提供专业比赛器材（击剑剑道、田径电子计时设备、球类器材等），确保器材符合赛事标准且状态良好。</w:t>
      </w:r>
    </w:p>
    <w:p w14:paraId="5A31873D">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4.物料制作服务：制作主背景桁架、秩序册、工作证、奖牌证书等赛事物料，满足赛事宣传及表彰需求。</w:t>
      </w:r>
    </w:p>
    <w:p w14:paraId="2CD3BDCD">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5.后勤保障服务：包括赛事期间医疗保障（救护车+医护人员驻场）、工作用水供应、组织者责任险投保等。</w:t>
      </w:r>
    </w:p>
    <w:p w14:paraId="5BE91F20">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6.</w:t>
      </w:r>
      <w:r>
        <w:rPr>
          <w:rFonts w:hint="eastAsia" w:asciiTheme="minorEastAsia" w:hAnsiTheme="minorEastAsia" w:eastAsiaTheme="minorEastAsia" w:cstheme="minorEastAsia"/>
          <w:b w:val="0"/>
          <w:bCs w:val="0"/>
          <w:color w:val="auto"/>
          <w:kern w:val="0"/>
          <w:sz w:val="21"/>
          <w:szCs w:val="21"/>
          <w:highlight w:val="none"/>
          <w:lang w:val="en-US" w:eastAsia="zh-CN"/>
        </w:rPr>
        <w:t>精彩瞬间图片、视频采集服务：比赛精彩瞬间的图片、视频等采集，以及名次赛的影像资料采集及存储。</w:t>
      </w:r>
    </w:p>
    <w:p w14:paraId="0694DF31">
      <w:pPr>
        <w:pStyle w:val="8"/>
        <w:ind w:firstLine="420" w:firstLineChars="200"/>
        <w:rPr>
          <w:rFonts w:hint="eastAsia" w:asciiTheme="minorEastAsia" w:hAnsiTheme="minorEastAsia" w:eastAsiaTheme="minorEastAsia" w:cstheme="minorEastAsia"/>
          <w:b w:val="0"/>
          <w:bCs w:val="0"/>
          <w:color w:val="auto"/>
          <w:kern w:val="0"/>
          <w:sz w:val="21"/>
          <w:szCs w:val="21"/>
          <w:highlight w:val="none"/>
          <w:lang w:val="en-US" w:eastAsia="zh-CN"/>
        </w:rPr>
      </w:pPr>
      <w:r>
        <w:rPr>
          <w:rFonts w:hint="eastAsia" w:asciiTheme="minorEastAsia" w:hAnsiTheme="minorEastAsia" w:eastAsiaTheme="minorEastAsia" w:cstheme="minorEastAsia"/>
          <w:b w:val="0"/>
          <w:bCs w:val="0"/>
          <w:color w:val="auto"/>
          <w:kern w:val="0"/>
          <w:sz w:val="21"/>
          <w:szCs w:val="21"/>
          <w:highlight w:val="none"/>
          <w:lang w:val="en-US" w:eastAsia="zh-CN"/>
        </w:rPr>
        <w:t>7.竞赛项目：田径运动会、艺术展演、青少年足球联赛、足球比赛、篮球比赛、跆拳道比赛、三跳比赛、羽毛球赛、乒乓球赛、游泳比赛、击剑比赛、排球比赛、围棋比赛，共13个体艺比赛项目。</w:t>
      </w:r>
    </w:p>
    <w:p w14:paraId="587A3941">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六、验收</w:t>
      </w:r>
    </w:p>
    <w:p w14:paraId="2D5F9164">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1、验收依据：</w:t>
      </w:r>
    </w:p>
    <w:p w14:paraId="2BA5653B">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1-1、合同文本、合同附件、招标文件、投标文件。</w:t>
      </w:r>
    </w:p>
    <w:p w14:paraId="73DD1949">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6" w:name="_Toc19515393"/>
      <w:r>
        <w:rPr>
          <w:rFonts w:hint="eastAsia" w:asciiTheme="minorEastAsia" w:hAnsiTheme="minorEastAsia" w:eastAsiaTheme="minorEastAsia" w:cstheme="minorEastAsia"/>
          <w:b/>
          <w:color w:val="auto"/>
          <w:kern w:val="2"/>
          <w:sz w:val="21"/>
          <w:szCs w:val="21"/>
          <w:highlight w:val="none"/>
        </w:rPr>
        <w:t>七、甲方的权利和义务</w:t>
      </w:r>
    </w:p>
    <w:p w14:paraId="7C4D0C2C">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1、甲方有权督促乙方完成合同中协议的所有工作内容及其工作进度；</w:t>
      </w:r>
    </w:p>
    <w:p w14:paraId="47B109B4">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2、甲方应主动提供有利于项目顺利执行实施的相关资源及便利；</w:t>
      </w:r>
    </w:p>
    <w:p w14:paraId="668EDBBA">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3、甲方有权向乙方提出整改建议和意见。</w:t>
      </w:r>
    </w:p>
    <w:p w14:paraId="2E33CDC8">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4、甲方负责监督、检查乙方提供服务的工作进度、质量情况。</w:t>
      </w:r>
    </w:p>
    <w:p w14:paraId="26F9A4E9">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八、乙方的权利和义务</w:t>
      </w:r>
    </w:p>
    <w:p w14:paraId="65ECE23F">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1、对本合同规定的委托范围内的项目享有管理权及服务义务。</w:t>
      </w:r>
    </w:p>
    <w:p w14:paraId="4748C10E">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2、根据本合同的规定向甲方收取相关服务费用，并有权在本项目管理范围内管理及合理使用。</w:t>
      </w:r>
    </w:p>
    <w:p w14:paraId="476A7D97">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3、及时向甲方通告本项目执行范围内有关的重大事项，及时配合处理投诉。</w:t>
      </w:r>
    </w:p>
    <w:p w14:paraId="10CBA1FE">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4、接受项目行业管理部门及政府有关部门的指导，接受甲方的监督。</w:t>
      </w:r>
    </w:p>
    <w:p w14:paraId="6E84CB2C">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5、国家法律、法规所规定由乙方承担的其它责任。</w:t>
      </w:r>
    </w:p>
    <w:p w14:paraId="5993AF09">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九、违约责任</w:t>
      </w:r>
    </w:p>
    <w:p w14:paraId="24675DA1">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1、违约责任按《中华人民共和国民法典》处理中的相关条款执行。</w:t>
      </w:r>
    </w:p>
    <w:bookmarkEnd w:id="6"/>
    <w:p w14:paraId="2744D844">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乙方应按合同约定时间完成各阶段合同义务，若发生延迟或服务质量未达标，甲方有权扣除合同总价款1%至20%的违约金，且甲方有权单方解除本合同。乙方未按照合同要求的任务完成任一项，甲方有权要求乙方承担该项违约责任，违约责任以合同总金额的10%计算。但甲方书面同意延迟或因甲方原因导致延迟的，乙方不承担违约责任。</w:t>
      </w:r>
    </w:p>
    <w:p w14:paraId="21540D7A">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3、若乙方未能按照甲方提出的整改建议和意见及时进行修正服务方案，按违约处理，甲方有权扣除合同总价款1%至20%的违约金，且甲方有权单方解除本合同。</w:t>
      </w:r>
    </w:p>
    <w:p w14:paraId="1FCF431F">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4、如甲方未能在本合同约定时间内支付款项，每延迟一天，甲方须向乙方承担迟延支付费用的0.5‰作为违约金，并将服务周期予以相应顺延。</w:t>
      </w:r>
    </w:p>
    <w:p w14:paraId="194D55CB">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5、若乙方未经甲方同意泄露本合同约定的任何秘密信息的，乙方应按照合同总价款的10%向甲方支付违约金，并赔偿因此给甲方造成的损失。</w:t>
      </w:r>
    </w:p>
    <w:p w14:paraId="0D8C3BDC">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379B2D64">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十、不可抗力事件处理</w:t>
      </w:r>
    </w:p>
    <w:p w14:paraId="18B7DD2A">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31EE7A5C">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14:paraId="1E8F0A01">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kern w:val="2"/>
          <w:sz w:val="21"/>
          <w:szCs w:val="21"/>
          <w:highlight w:val="none"/>
        </w:rPr>
        <w:t>十一、合同组成</w:t>
      </w:r>
    </w:p>
    <w:p w14:paraId="46FDE766">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1、中标通知书</w:t>
      </w:r>
    </w:p>
    <w:p w14:paraId="5434333B">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2、合同文件</w:t>
      </w:r>
    </w:p>
    <w:p w14:paraId="6116465A">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3、国家相关规范及标准</w:t>
      </w:r>
    </w:p>
    <w:p w14:paraId="720A70A3">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4、招标文件</w:t>
      </w:r>
    </w:p>
    <w:p w14:paraId="53BA8161">
      <w:pPr>
        <w:widowControl w:val="0"/>
        <w:adjustRightInd w:val="0"/>
        <w:snapToGrid w:val="0"/>
        <w:spacing w:line="360" w:lineRule="auto"/>
        <w:ind w:firstLine="420" w:firstLineChars="200"/>
        <w:jc w:val="both"/>
        <w:rPr>
          <w:rFonts w:hint="eastAsia"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rPr>
        <w:t>5、投标文件</w:t>
      </w:r>
    </w:p>
    <w:p w14:paraId="4F6DD311">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7" w:name="_Toc19515394"/>
      <w:r>
        <w:rPr>
          <w:rFonts w:hint="eastAsia" w:asciiTheme="minorEastAsia" w:hAnsiTheme="minorEastAsia" w:eastAsiaTheme="minorEastAsia" w:cstheme="minorEastAsia"/>
          <w:b/>
          <w:color w:val="auto"/>
          <w:kern w:val="2"/>
          <w:sz w:val="21"/>
          <w:szCs w:val="21"/>
          <w:highlight w:val="none"/>
        </w:rPr>
        <w:t>十二、解决争议的方法</w:t>
      </w:r>
      <w:bookmarkEnd w:id="7"/>
    </w:p>
    <w:p w14:paraId="65C630DD">
      <w:pPr>
        <w:autoSpaceDE w:val="0"/>
        <w:autoSpaceDN w:val="0"/>
        <w:snapToGrid w:val="0"/>
        <w:spacing w:line="360" w:lineRule="auto"/>
        <w:ind w:right="-110" w:firstLine="420" w:firstLineChars="200"/>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凡因本合同引起的或与本合同有关的争议，双方应友好协商解决。协商不成时，甲、乙双方均同意向甲方所在地人民法院提起诉讼解决。</w:t>
      </w:r>
    </w:p>
    <w:p w14:paraId="05BE773F">
      <w:pPr>
        <w:widowControl w:val="0"/>
        <w:adjustRightInd w:val="0"/>
        <w:snapToGrid w:val="0"/>
        <w:spacing w:line="360" w:lineRule="auto"/>
        <w:ind w:firstLine="422" w:firstLineChars="200"/>
        <w:jc w:val="both"/>
        <w:rPr>
          <w:rFonts w:hint="eastAsia" w:asciiTheme="minorEastAsia" w:hAnsiTheme="minorEastAsia" w:eastAsiaTheme="minorEastAsia" w:cstheme="minorEastAsia"/>
          <w:b/>
          <w:color w:val="auto"/>
          <w:kern w:val="2"/>
          <w:sz w:val="21"/>
          <w:szCs w:val="21"/>
          <w:highlight w:val="none"/>
        </w:rPr>
      </w:pPr>
      <w:bookmarkStart w:id="8" w:name="_Toc19515395"/>
      <w:r>
        <w:rPr>
          <w:rFonts w:hint="eastAsia" w:asciiTheme="minorEastAsia" w:hAnsiTheme="minorEastAsia" w:eastAsiaTheme="minorEastAsia" w:cstheme="minorEastAsia"/>
          <w:b/>
          <w:color w:val="auto"/>
          <w:kern w:val="2"/>
          <w:sz w:val="21"/>
          <w:szCs w:val="21"/>
          <w:highlight w:val="none"/>
        </w:rPr>
        <w:t>十三、合同生效及其它</w:t>
      </w:r>
      <w:bookmarkEnd w:id="8"/>
    </w:p>
    <w:p w14:paraId="3572C20B">
      <w:pPr>
        <w:autoSpaceDE w:val="0"/>
        <w:autoSpaceDN w:val="0"/>
        <w:snapToGrid w:val="0"/>
        <w:spacing w:line="360" w:lineRule="auto"/>
        <w:ind w:right="-110" w:firstLine="420" w:firstLineChars="200"/>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1、合同未尽事宜、由甲、乙双方协商，作为合同补充，与原合同具有同等法律效力。</w:t>
      </w:r>
    </w:p>
    <w:p w14:paraId="4D96A215">
      <w:pPr>
        <w:tabs>
          <w:tab w:val="left" w:pos="8391"/>
        </w:tabs>
        <w:autoSpaceDE w:val="0"/>
        <w:autoSpaceDN w:val="0"/>
        <w:snapToGrid w:val="0"/>
        <w:spacing w:line="360" w:lineRule="auto"/>
        <w:ind w:right="-69" w:firstLine="420" w:firstLineChars="200"/>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 本合同一式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份，甲方、乙方双方分别执</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备案</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w:t>
      </w:r>
    </w:p>
    <w:p w14:paraId="02730E6D">
      <w:pPr>
        <w:tabs>
          <w:tab w:val="left" w:pos="8391"/>
        </w:tabs>
        <w:autoSpaceDE w:val="0"/>
        <w:autoSpaceDN w:val="0"/>
        <w:snapToGrid w:val="0"/>
        <w:spacing w:line="360" w:lineRule="auto"/>
        <w:ind w:right="-69" w:firstLine="420" w:firstLineChars="200"/>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3、合同经甲乙双方盖章、签字后生效，合同签订地点为</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w:t>
      </w:r>
    </w:p>
    <w:p w14:paraId="4B09A06A">
      <w:pPr>
        <w:tabs>
          <w:tab w:val="left" w:pos="8391"/>
        </w:tabs>
        <w:autoSpaceDE w:val="0"/>
        <w:autoSpaceDN w:val="0"/>
        <w:snapToGrid w:val="0"/>
        <w:spacing w:line="360" w:lineRule="auto"/>
        <w:ind w:right="-69" w:firstLine="420" w:firstLineChars="200"/>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4、生效时间：   年  月  日</w:t>
      </w:r>
    </w:p>
    <w:tbl>
      <w:tblPr>
        <w:tblStyle w:val="4"/>
        <w:tblpPr w:leftFromText="180" w:rightFromText="180" w:vertAnchor="text" w:horzAnchor="page" w:tblpX="1908" w:tblpY="454"/>
        <w:tblOverlap w:val="never"/>
        <w:tblW w:w="0" w:type="auto"/>
        <w:tblInd w:w="0" w:type="dxa"/>
        <w:tblLayout w:type="fixed"/>
        <w:tblCellMar>
          <w:top w:w="0" w:type="dxa"/>
          <w:left w:w="108" w:type="dxa"/>
          <w:bottom w:w="0" w:type="dxa"/>
          <w:right w:w="108" w:type="dxa"/>
        </w:tblCellMar>
      </w:tblPr>
      <w:tblGrid>
        <w:gridCol w:w="4643"/>
        <w:gridCol w:w="4643"/>
      </w:tblGrid>
      <w:tr w14:paraId="5E23C43C">
        <w:tblPrEx>
          <w:tblCellMar>
            <w:top w:w="0" w:type="dxa"/>
            <w:left w:w="108" w:type="dxa"/>
            <w:bottom w:w="0" w:type="dxa"/>
            <w:right w:w="108" w:type="dxa"/>
          </w:tblCellMar>
        </w:tblPrEx>
        <w:tc>
          <w:tcPr>
            <w:tcW w:w="4643" w:type="dxa"/>
          </w:tcPr>
          <w:p w14:paraId="2EF7C8A1">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甲方名称</w:t>
            </w:r>
            <w:r>
              <w:rPr>
                <w:rFonts w:hint="eastAsia" w:asciiTheme="minorEastAsia" w:hAnsiTheme="minorEastAsia" w:eastAsiaTheme="minorEastAsia" w:cstheme="minorEastAsia"/>
                <w:color w:val="auto"/>
                <w:spacing w:val="-20"/>
                <w:sz w:val="21"/>
                <w:szCs w:val="21"/>
                <w:highlight w:val="none"/>
              </w:rPr>
              <w:t>（盖章）</w:t>
            </w:r>
            <w:r>
              <w:rPr>
                <w:rFonts w:hint="eastAsia" w:asciiTheme="minorEastAsia" w:hAnsiTheme="minorEastAsia" w:eastAsiaTheme="minorEastAsia" w:cstheme="minorEastAsia"/>
                <w:color w:val="auto"/>
                <w:sz w:val="21"/>
                <w:szCs w:val="21"/>
                <w:highlight w:val="none"/>
              </w:rPr>
              <w:t>:</w:t>
            </w:r>
          </w:p>
          <w:p w14:paraId="18A7F25A">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w:t>
            </w:r>
          </w:p>
          <w:p w14:paraId="09420608">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代表人（签字）：</w:t>
            </w:r>
          </w:p>
          <w:p w14:paraId="1424C7D1">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p>
          <w:p w14:paraId="24CC8CCD">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p>
          <w:p w14:paraId="5B3CF8CC">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帐号：</w:t>
            </w:r>
          </w:p>
        </w:tc>
        <w:tc>
          <w:tcPr>
            <w:tcW w:w="4643" w:type="dxa"/>
          </w:tcPr>
          <w:p w14:paraId="49631BB4">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乙方名称</w:t>
            </w:r>
            <w:r>
              <w:rPr>
                <w:rFonts w:hint="eastAsia" w:asciiTheme="minorEastAsia" w:hAnsiTheme="minorEastAsia" w:eastAsiaTheme="minorEastAsia" w:cstheme="minorEastAsia"/>
                <w:color w:val="auto"/>
                <w:spacing w:val="-20"/>
                <w:sz w:val="21"/>
                <w:szCs w:val="21"/>
                <w:highlight w:val="none"/>
              </w:rPr>
              <w:t>（盖章）</w:t>
            </w:r>
            <w:r>
              <w:rPr>
                <w:rFonts w:hint="eastAsia" w:asciiTheme="minorEastAsia" w:hAnsiTheme="minorEastAsia" w:eastAsiaTheme="minorEastAsia" w:cstheme="minorEastAsia"/>
                <w:color w:val="auto"/>
                <w:sz w:val="21"/>
                <w:szCs w:val="21"/>
                <w:highlight w:val="none"/>
              </w:rPr>
              <w:t>:</w:t>
            </w:r>
          </w:p>
          <w:p w14:paraId="512355F2">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w:t>
            </w:r>
          </w:p>
          <w:p w14:paraId="59B11F03">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代表人（签字）：</w:t>
            </w:r>
          </w:p>
          <w:p w14:paraId="783A1BD8">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p>
          <w:p w14:paraId="144608A0">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p>
          <w:p w14:paraId="663E0FCB">
            <w:pPr>
              <w:autoSpaceDE w:val="0"/>
              <w:autoSpaceDN w:val="0"/>
              <w:snapToGrid w:val="0"/>
              <w:spacing w:line="360" w:lineRule="auto"/>
              <w:ind w:right="-154"/>
              <w:jc w:val="both"/>
              <w:textAlignment w:val="bottom"/>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帐号：</w:t>
            </w:r>
          </w:p>
        </w:tc>
      </w:tr>
    </w:tbl>
    <w:p w14:paraId="408BD1AD">
      <w:pPr>
        <w:rPr>
          <w:color w:val="auto"/>
          <w:highlight w:val="none"/>
        </w:rPr>
      </w:pPr>
    </w:p>
    <w:bookmarkEnd w:id="9"/>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276bd408-66cc-4d59-ad76-78383ac4df48"/>
  </w:docVars>
  <w:rsids>
    <w:rsidRoot w:val="00000000"/>
    <w:rsid w:val="06982E31"/>
    <w:rsid w:val="1890064F"/>
    <w:rsid w:val="2AF66B90"/>
    <w:rsid w:val="6BBD714D"/>
    <w:rsid w:val="6CFC61A7"/>
    <w:rsid w:val="75840CDB"/>
    <w:rsid w:val="79B07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3696"/>
      <w:outlineLvl w:val="1"/>
    </w:pPr>
    <w:rPr>
      <w:rFonts w:ascii="宋体" w:hAnsi="宋体" w:eastAsia="宋体"/>
      <w:sz w:val="31"/>
      <w:szCs w:val="3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490"/>
    </w:pPr>
    <w:rPr>
      <w:rFonts w:ascii="宋体" w:hAnsi="宋体" w:eastAsia="宋体"/>
      <w:sz w:val="19"/>
      <w:szCs w:val="19"/>
    </w:rPr>
  </w:style>
  <w:style w:type="paragraph" w:customStyle="1" w:styleId="6">
    <w:name w:val="标书正文1"/>
    <w:basedOn w:val="1"/>
    <w:next w:val="3"/>
    <w:qFormat/>
    <w:uiPriority w:val="0"/>
    <w:pPr>
      <w:spacing w:line="520" w:lineRule="exact"/>
      <w:ind w:firstLine="640" w:firstLineChars="200"/>
    </w:pPr>
  </w:style>
  <w:style w:type="paragraph" w:customStyle="1" w:styleId="7">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1930</Words>
  <Characters>1957</Characters>
  <Lines>0</Lines>
  <Paragraphs>0</Paragraphs>
  <TotalTime>0</TotalTime>
  <ScaleCrop>false</ScaleCrop>
  <LinksUpToDate>false</LinksUpToDate>
  <CharactersWithSpaces>2003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2024-03-15T08:37:00Z</dcterms:created>
  <dc:creator>Administrator</dc:creator>
  <cp:lastModifiedBy>朱小克</cp:lastModifiedBy>
  <dcterms:modified xsi:type="dcterms:W3CDTF">2026-04-09T08:30:38Z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821979B67F23417B8E026D45EEEC5D80_12</vt:lpwstr>
  </property>
  <property fmtid="{D5CDD505-2E9C-101B-9397-08002B2CF9AE}" pid="4" name="KSOTemplateDocerSaveRecord">
    <vt:lpwstr>eyJoZGlkIjoiNTQ2NzA3NDE1M2U1MjMwMDlmOGYwZGVmNjY2ZDE3ZmUiLCJ1c2VySWQiOiIyNTk4MjUxOTAifQ==</vt:lpwstr>
  </property>
</Properties>
</file>