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版本号：GXZB2025-092Z20251022001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航空基地土地资产评估项目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GXZB2025-092Z</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航空基地土地资产评估项目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GXZB2025-092Z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航空基地土地资产评估项目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本项目拟对航空基地土地资产评估项目，具体详见竞争性磋商文件。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采购包1（航空基地土地资产评估项目）：属于专门面向中小企业采购。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1、备案函：供应商须具有自然资源行政主管部门关于土地估价机构的备案函；</w:t>
      </w:r>
    </w:p>
    <w:p>
      <w:pPr>
        <w:pStyle w:val="null3"/>
      </w:pPr>
      <w:r>
        <w:rPr>
          <w:rFonts w:ascii="仿宋_GB2312" w:hAnsi="仿宋_GB2312" w:cs="仿宋_GB2312" w:eastAsia="仿宋_GB2312"/>
        </w:rPr>
        <w:t>2、法定代表人授权书：供应商应授权合法的人员参加投标全过程，法定代表人直接参加磋商的须提供其法定代表人身份证，法定代表人授权代表参加投标的，须出具法定代表人授权书及被授权人在本单位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西安阎良国家航空高技术产业基地管理委员会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15109114760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张晓筱、高丹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采购包1：886,656.14元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收取。由中标（成交）单位在领取中标（成交）通知书前一次性向采购代理机构支付。 缴纳账户： 名 称：陕西国信招标有限公司 开户行：西安银行股份有限公司咸宁中路支行 账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联系人：张晓筱、高丹</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本项目拟对航空基地土地资产评估项目进行采购，具体详见采购文件。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886,656.14</w:t>
      </w:r>
    </w:p>
    <w:p>
      <w:pPr>
        <w:pStyle w:val="null3"/>
      </w:pPr>
      <w:r>
        <w:rPr>
          <w:rFonts w:ascii="仿宋_GB2312" w:hAnsi="仿宋_GB2312" w:cs="仿宋_GB2312" w:eastAsia="仿宋_GB2312"/>
        </w:rPr>
        <w:t>采购包最高限价（元）: 886,656.14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航空基地土地资产评估项目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886,656.14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标的名称：航空基地土地资产评估项目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1、采购需求</w:t>
            </w:r>
          </w:p>
          <w:p>
            <w:pPr>
              <w:pStyle w:val="null3"/>
              <w:ind w:firstLine="400"/>
              <w:jc w:val="both"/>
            </w:pPr>
            <w:r>
              <w:rPr>
                <w:rFonts w:ascii="仿宋_GB2312" w:hAnsi="仿宋_GB2312" w:cs="仿宋_GB2312" w:eastAsia="仿宋_GB2312"/>
                <w:sz w:val="20"/>
                <w:color w:val="000000"/>
              </w:rPr>
              <w:t>受西安阎良国家航空高技术产业基地管理委员会委托，为西安阎良国家航空高技术产业基地管理委员会范围内宗地提供土地评估服务。按西安阎良国家航空高技术产业基地管理委员会指定的宗地范围，遵循公正、公平、公开的原则和科学的评估方法，按国家规定，向西安阎良国家航空高技术产业基地管理委员会出具符合规范要求的评估报告。</w:t>
            </w:r>
          </w:p>
          <w:p>
            <w:pPr>
              <w:pStyle w:val="null3"/>
              <w:jc w:val="both"/>
            </w:pPr>
            <w:r>
              <w:rPr>
                <w:rFonts w:ascii="仿宋_GB2312" w:hAnsi="仿宋_GB2312" w:cs="仿宋_GB2312" w:eastAsia="仿宋_GB2312"/>
                <w:sz w:val="20"/>
                <w:color w:val="000000"/>
              </w:rPr>
              <w:t>2、评估依据及标准</w:t>
            </w:r>
          </w:p>
          <w:p>
            <w:pPr>
              <w:pStyle w:val="null3"/>
              <w:ind w:firstLine="400"/>
              <w:jc w:val="both"/>
            </w:pPr>
            <w:r>
              <w:rPr>
                <w:rFonts w:ascii="仿宋_GB2312" w:hAnsi="仿宋_GB2312" w:cs="仿宋_GB2312" w:eastAsia="仿宋_GB2312"/>
                <w:sz w:val="20"/>
                <w:color w:val="000000"/>
              </w:rPr>
              <w:t>包含但不限于下列内容：</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1）《中华人民共和国土地管理法》；</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2）符合《国有建设用地使用权出让地价评估技术规范》要求；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3）符合中华人民共和国国家标准《城镇土地估价规程》（GB/T 18508-2014）。</w:t>
            </w:r>
          </w:p>
          <w:p>
            <w:pPr>
              <w:pStyle w:val="null3"/>
              <w:jc w:val="both"/>
            </w:pPr>
            <w:r>
              <w:rPr>
                <w:rFonts w:ascii="仿宋_GB2312" w:hAnsi="仿宋_GB2312" w:cs="仿宋_GB2312" w:eastAsia="仿宋_GB2312"/>
                <w:sz w:val="20"/>
                <w:color w:val="000000"/>
              </w:rPr>
              <w:t>3、成果编制</w:t>
            </w:r>
          </w:p>
          <w:p>
            <w:pPr>
              <w:pStyle w:val="null3"/>
              <w:ind w:firstLine="400"/>
              <w:jc w:val="both"/>
            </w:pPr>
            <w:r>
              <w:rPr>
                <w:rFonts w:ascii="仿宋_GB2312" w:hAnsi="仿宋_GB2312" w:cs="仿宋_GB2312" w:eastAsia="仿宋_GB2312"/>
                <w:sz w:val="20"/>
                <w:color w:val="000000"/>
              </w:rPr>
              <w:t>根据</w:t>
            </w:r>
            <w:r>
              <w:rPr>
                <w:rFonts w:ascii="仿宋_GB2312" w:hAnsi="仿宋_GB2312" w:cs="仿宋_GB2312" w:eastAsia="仿宋_GB2312"/>
                <w:sz w:val="20"/>
                <w:color w:val="000000"/>
              </w:rPr>
              <w:t>《中华人民共和国土地管理法》、《国有建设用地使用权出让地价评估技术规范》、《城镇土地估价规程》（</w:t>
            </w:r>
            <w:r>
              <w:rPr>
                <w:rFonts w:ascii="仿宋_GB2312" w:hAnsi="仿宋_GB2312" w:cs="仿宋_GB2312" w:eastAsia="仿宋_GB2312"/>
                <w:sz w:val="20"/>
                <w:color w:val="000000"/>
              </w:rPr>
              <w:t>GB/T 18508-2014）</w:t>
            </w:r>
            <w:r>
              <w:rPr>
                <w:rFonts w:ascii="仿宋_GB2312" w:hAnsi="仿宋_GB2312" w:cs="仿宋_GB2312" w:eastAsia="仿宋_GB2312"/>
                <w:sz w:val="20"/>
                <w:color w:val="000000"/>
              </w:rPr>
              <w:t>等文件要求，编制</w:t>
            </w:r>
            <w:r>
              <w:rPr>
                <w:rFonts w:ascii="仿宋_GB2312" w:hAnsi="仿宋_GB2312" w:cs="仿宋_GB2312" w:eastAsia="仿宋_GB2312"/>
                <w:sz w:val="20"/>
                <w:color w:val="000000"/>
              </w:rPr>
              <w:t>西安阎良国家航空高技术产业基地管理委员会指定的宗地范围的土地评估报告</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4、技术要求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1）接到委托项目通知，必须按约定时间及时与采购人联系。</w:t>
            </w:r>
            <w:r>
              <w:rPr>
                <w:rFonts w:ascii="仿宋_GB2312" w:hAnsi="仿宋_GB2312" w:cs="仿宋_GB2312" w:eastAsia="仿宋_GB2312"/>
                <w:sz w:val="20"/>
                <w:color w:val="000000"/>
              </w:rPr>
              <w:t>按照甲方要求，按时</w:t>
            </w:r>
            <w:r>
              <w:rPr>
                <w:rFonts w:ascii="仿宋_GB2312" w:hAnsi="仿宋_GB2312" w:cs="仿宋_GB2312" w:eastAsia="仿宋_GB2312"/>
                <w:sz w:val="20"/>
                <w:color w:val="000000"/>
              </w:rPr>
              <w:t>提交土地评估报告，并确保出具的《土地估价报告》等估价成果并保证技术服务成果的科学性、合理性、准确性，符合审查审批要求，履行备案。</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2）要求成果符合《城镇土地估价规程》（GB/T18508-2014）、《国土资源部办公厅关于发布〈国有建设用地使用权出让地价评估技术规范〉的通知》（</w:t>
            </w:r>
            <w:r>
              <w:rPr>
                <w:rFonts w:ascii="仿宋_GB2312" w:hAnsi="仿宋_GB2312" w:cs="仿宋_GB2312" w:eastAsia="仿宋_GB2312"/>
                <w:sz w:val="20"/>
                <w:color w:val="000000"/>
              </w:rPr>
              <w:t>国土资厅发〔</w:t>
            </w:r>
            <w:r>
              <w:rPr>
                <w:rFonts w:ascii="仿宋_GB2312" w:hAnsi="仿宋_GB2312" w:cs="仿宋_GB2312" w:eastAsia="仿宋_GB2312"/>
                <w:sz w:val="20"/>
                <w:color w:val="000000"/>
              </w:rPr>
              <w:t>2018〕</w:t>
            </w:r>
            <w:r>
              <w:rPr>
                <w:rFonts w:ascii="仿宋_GB2312" w:hAnsi="仿宋_GB2312" w:cs="仿宋_GB2312" w:eastAsia="仿宋_GB2312"/>
                <w:sz w:val="20"/>
                <w:color w:val="000000"/>
              </w:rPr>
              <w:t>4 号）、《国土资源部、财政部、中国人民银行、中国银行业监督管理委员会关于印发&lt;土地储备管理办法&gt;的通知》（国土资规〔2017〕17 号）等国家、陕西省、西安市规程、政策、规范性文件要求。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3）其它内容以采购人要求及双方签订的合同中规定内容为准。</w:t>
            </w:r>
          </w:p>
          <w:p>
            <w:pPr>
              <w:pStyle w:val="null3"/>
              <w:jc w:val="both"/>
            </w:pPr>
            <w:r>
              <w:rPr>
                <w:rFonts w:ascii="仿宋_GB2312" w:hAnsi="仿宋_GB2312" w:cs="仿宋_GB2312" w:eastAsia="仿宋_GB2312"/>
                <w:sz w:val="20"/>
                <w:color w:val="000000"/>
              </w:rPr>
              <w:t>5、成果交付</w:t>
            </w:r>
          </w:p>
          <w:p>
            <w:pPr>
              <w:pStyle w:val="null3"/>
            </w:pPr>
            <w:r>
              <w:rPr>
                <w:rFonts w:ascii="仿宋_GB2312" w:hAnsi="仿宋_GB2312" w:cs="仿宋_GB2312" w:eastAsia="仿宋_GB2312"/>
                <w:sz w:val="20"/>
                <w:color w:val="000000"/>
              </w:rPr>
              <w:t>按照委托约定的内容提供正式成果（文本及相关附表、附图）。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拟投入本项目组成员须具备全国注册估价师（土地或房地产）执业证。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达到付款条件后，每半年支付（据实结算）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达到付款条件后，每半年支付（据实结算）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达到付款条件后，每半年支付（据实结算）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达到付款条件后，每半年支付（据实结算）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（一）违约责任：1.在合同履行期间，甲方要求终止或解除合同，不退还已付的合同价款，乙方已开始工作的，甲方应根据乙方已进行的实际工作量，据实支付服务费用； 2.由于乙方的错误，给甲方造成经济损失时，乙方应及时采取措施予以补救，并视损失大小，减收或免除损失部分的服务费用。 （二）合同争议解决的方式：1.本合同在履行过程中发生的争议，由甲、乙双方当事人协商解决，协商不成的提交西安仲裁委员会仲裁；2.依法向有管辖权的人民法院起诉。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1、其他未列明行业。从业人员 300 人以下的为中小微型企业。其中从业人员 100 人及以上的为中型企业；从业人员 10 人及以上的为小型企业；从业人员 10 人及以下的为为微型企业。2、供应商投标报价不能超过最高限价，报价折扣率不高于《市资源发[2025]127号》收费标准。3、支付约定：甲方验收合格，上级部门批准，将电子、纸质成果移交甲方。乙方须开具全额发票，甲方确认后进行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或事业单位法人证书；自然人参与的提供其身份证明；②、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履行合同所必需的设备和专业技术能力的承诺；</w:t>
            </w:r>
          </w:p>
        </w:tc>
        <w:tc>
          <w:tcPr>
            <w:tcW w:type="dxa" w:w="1661"/>
          </w:tcPr>
          <w:p>
            <w:pPr>
              <w:pStyle w:val="null3"/>
            </w:pPr>
            <w:r>
              <w:rPr>
                <w:rFonts w:ascii="仿宋_GB2312" w:hAnsi="仿宋_GB2312" w:cs="仿宋_GB2312" w:eastAsia="仿宋_GB2312"/>
              </w:rPr>
              <w:t>资格证明.pdf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供应商需在项目电子化交易系统中按要求上传相应证明文件并进行电子签章。供应商须提供2024 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资格证明.pdf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备案函</w:t>
            </w:r>
          </w:p>
        </w:tc>
        <w:tc>
          <w:tcPr>
            <w:tcW w:type="dxa" w:w="3322"/>
          </w:tcPr>
          <w:p>
            <w:pPr>
              <w:pStyle w:val="null3"/>
            </w:pPr>
            <w:r>
              <w:rPr>
                <w:rFonts w:ascii="仿宋_GB2312" w:hAnsi="仿宋_GB2312" w:cs="仿宋_GB2312" w:eastAsia="仿宋_GB2312"/>
              </w:rPr>
              <w:t>供应商须具有自然资源行政主管部门关于土地估价机构的备案函；</w:t>
            </w:r>
          </w:p>
        </w:tc>
        <w:tc>
          <w:tcPr>
            <w:tcW w:type="dxa" w:w="1661"/>
          </w:tcPr>
          <w:p>
            <w:pPr>
              <w:pStyle w:val="null3"/>
            </w:pPr>
            <w:r>
              <w:rPr>
                <w:rFonts w:ascii="仿宋_GB2312" w:hAnsi="仿宋_GB2312" w:cs="仿宋_GB2312" w:eastAsia="仿宋_GB2312"/>
              </w:rPr>
              <w:t>资格证明.pdf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供应商应授权合法的人员参加投标全过程，法定代表人直接参加磋商的须提供其法定代表人身份证，法定代表人授权代表参加投标的，须出具法定代表人授权书及被授权人在本单位的社保缴纳证明；</w:t>
            </w:r>
          </w:p>
        </w:tc>
        <w:tc>
          <w:tcPr>
            <w:tcW w:type="dxa" w:w="1661"/>
          </w:tcPr>
          <w:p>
            <w:pPr>
              <w:pStyle w:val="null3"/>
            </w:pPr>
            <w:r>
              <w:rPr>
                <w:rFonts w:ascii="仿宋_GB2312" w:hAnsi="仿宋_GB2312" w:cs="仿宋_GB2312" w:eastAsia="仿宋_GB2312"/>
              </w:rPr>
              <w:t>资格证明.pdf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磋商内容、响应文件的签署、盖章、磋商报价、磋商有效期、工期、付款方式</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3、磋商报价是否唯一，且没有超过最高限价；4、磋商有效期是否满足要求；5、服务期是否满足要求；6、付款方式是否完全响应。</w:t>
            </w:r>
          </w:p>
        </w:tc>
        <w:tc>
          <w:tcPr>
            <w:tcW w:type="dxa" w:w="1661"/>
          </w:tcPr>
          <w:p>
            <w:pPr>
              <w:pStyle w:val="null3"/>
            </w:pPr>
            <w:r>
              <w:rPr>
                <w:rFonts w:ascii="仿宋_GB2312" w:hAnsi="仿宋_GB2312" w:cs="仿宋_GB2312" w:eastAsia="仿宋_GB2312"/>
              </w:rPr>
              <w:t>商务条款偏离表.pdf 中小企业声明函 报价表 业绩.pdf 响应文件封面 拒绝政府采购领域商业贿赂承诺书.pdf 资格证明.pdf 残疾人福利性单位声明函 服务方案 标的清单 响应函 供应商认为有必要补充说明的事宜.pdf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根据各供应商提供的对项目的实施方案响应情况进行评审，每个评审因素最高得5分，本项最高得30分。 1.评审因素： ①项目组织架构；②实施标准；③工作方法；④工作部署与进度安排；⑤拟投入专业设施和设备；⑥技术报告编写； 2.每个评审因素的评审标准为: ①方案完全满足且有优于设计要求的得5分； ②方案完全满足设计要求的得3分；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根据各供应商提供的对项目的重点、难点分析及解决措施响应情况进行评审，每个评审因素最高得4分，本项最高得12分。 1.评审因素： ①重、难点分析；②风险点分析；③解决方案； 2.每个评审因素的评审标准为: ①方案完全满足且有优于设计要求的得4分；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根据各供应商提供的对项目的管理制度响应情况进行评审，每个评审因素最高得3分，本项最高得9分。 1.评审因素： ①业务质量控制制度；②档案管理制度；③风险控制制度；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保证措施方案</w:t>
            </w:r>
          </w:p>
        </w:tc>
        <w:tc>
          <w:tcPr>
            <w:tcW w:type="dxa" w:w="2492"/>
          </w:tcPr>
          <w:p>
            <w:pPr>
              <w:pStyle w:val="null3"/>
            </w:pPr>
            <w:r>
              <w:rPr>
                <w:rFonts w:ascii="仿宋_GB2312" w:hAnsi="仿宋_GB2312" w:cs="仿宋_GB2312" w:eastAsia="仿宋_GB2312"/>
              </w:rPr>
              <w:t>根据各供应商提供的对项目的保证措施方案响应情况进行评审，每个评审因素最高得3分，本项最高得9分。 1.评审因素： ①项目进度保障措施；②成果保证措施；③安全保证措施；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根据各供应商提供的对项目的服务承诺响应情况进行评审，每个评审因素最高得3分，本项最高得12分。 1.评审因素： ①服务质量；②数据准确性；③服务响应时间；④服务期内团队稳定性； 2.每个评审因素的评审标准为: ①方案完全满足且有优于设计要求的得3分； ②方案完全满足设计要求的得2分； ③方案部分不满足设计要求的得1分； ④方案完全不满足或未提供的不得分。【注：未提供方案或与评审因素无关的不得分】。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拟投入本项目组成员每有 1 名全国注册估价师（土地或房地产），得 2 分，最高得 8 分。 注：以上专业人员均需提供相关专业执业证，否则不得分，未提供不得分。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 2022 年 10 月 01 日至今的类似项目业绩，每提供一个计 2 分，满分 10 分。注：须提供中标通知书或合同（协议）复印件并加盖公章，以中标通知书或合同（协议）签订时间为准，不提供者不计分。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价格分采用低价优先法计算，即满足磋商文件要求且磋商价格最低的磋商报价为评审基准价，其价格分为满分。其他供应商的价格统一按照下列公式计算： 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详见附件：商务条款偏离表.pdf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详见附件：资格证明.pdf</w:t>
      </w:r>
    </w:p>
    <w:p>
      <w:pPr>
        <w:pStyle w:val="null3"/>
        <w:ind w:firstLine="960"/>
      </w:pPr>
      <w:r>
        <w:rPr>
          <w:rFonts w:ascii="仿宋_GB2312" w:hAnsi="仿宋_GB2312" w:cs="仿宋_GB2312" w:eastAsia="仿宋_GB2312"/>
        </w:rPr>
        <w:t>详见附件：供应商认为有必要补充说明的事宜.pdf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