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版本号：YMD-2025008ZS20251117001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航空基地2025年臭氧与颗粒物协同治理管控服务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YMD-2025008ZS</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航空基地2025年臭氧与颗粒物协同治理管控服务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YMD-2025008ZS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航空基地2025年臭氧与颗粒物协同治理管控服务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气细颗粒物（PM2.5）与臭氧（O₃）所构成的复合污染已成为影响航空基地空气质量和优良天数的关键因素。为应对这一挑战，亟需立足航空基地实际情况，推进多污染物协同减排，以此构建系统化的大气环境治理体系，并建立PM₂.₅与O₃协同管控机制。拟通过开展VOCs采样与臭氧来源解析、更新精细化大气污染源清单、数据分析、VOCs走航监测、车载激光雷达移动扫描监测，构建“固定+移动”相结合的立体监测网络，实现对污染源的精准识别、动态追踪与深度溯源。同时，通过专家培训与常态化技术保障服务，进一步增强区域大气治理的系统性和前瞻性，为航空基地空气质量持续改善提供全面支撑。基于上述目标，现采购航空基地2025年臭氧与颗粒物协同治理管控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主要负责人）或其授权代理人身份证明：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内任意一个月社会保险缴纳证明)。</w:t>
      </w:r>
    </w:p>
    <w:p>
      <w:pPr>
        <w:pStyle w:val="null3"/>
      </w:pPr>
      <w:r>
        <w:rPr>
          <w:rFonts w:ascii="仿宋_GB2312" w:hAnsi="仿宋_GB2312" w:cs="仿宋_GB2312" w:eastAsia="仿宋_GB2312"/>
        </w:rPr>
        <w:t>3、财务状况：财务状况（任选其一）：1.2024年度经审计的财务会计报告（至少包括审计报告、资产负债表、现金流量表、利润表及附注，成立时间至提交响应文件截止时间不足一年的可提供成立后任意时段的资产负债表）2.提交响应文件截止时间三个月内其基本账户开户银行出具的资信证明（附基本存款账户信息）。</w:t>
      </w:r>
    </w:p>
    <w:p>
      <w:pPr>
        <w:pStyle w:val="null3"/>
      </w:pPr>
      <w:r>
        <w:rPr>
          <w:rFonts w:ascii="仿宋_GB2312" w:hAnsi="仿宋_GB2312" w:cs="仿宋_GB2312" w:eastAsia="仿宋_GB2312"/>
        </w:rPr>
        <w:t>4、税收缴纳证明：提交响应文件截止时间前一年内至少一个月的纳税证明或完税证明，纳税证明或完税证明上应有代收机构或税务机关的公章或业务专用章。（依法免税的供应商应提供相应文件证明）。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6、提供具有履行的专业技术承诺：供应商提供具有履行本合同所必需的设备和专业技术能力的承诺函。</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供应商信用查询：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9、其他资料：1.单位负责人为同一人或者存在直接控股、管理关系的不同投标人，不得参加同一合同项下的政府采购活动；2.本项目不接受联合体投标。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15114890297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13572854035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缴纳采购代理服务费。代理服务费以采购项目的成交价作为收费基数，按照国家计委（计价格【2002】1980号）《招标代理服务收费管理暂行办法》及发改办价格『2003』857号中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严格按照竞争性磋商文件及国家相关标准、行业标准、地方标准或者其他标准、规范标准执行。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联系人：李强</w:t>
      </w:r>
    </w:p>
    <w:p>
      <w:pPr>
        <w:pStyle w:val="null3"/>
      </w:pPr>
      <w:r>
        <w:rPr>
          <w:rFonts w:ascii="仿宋_GB2312" w:hAnsi="仿宋_GB2312" w:cs="仿宋_GB2312" w:eastAsia="仿宋_GB2312"/>
        </w:rPr>
        <w:t>联系电话：13572854035</w:t>
      </w:r>
    </w:p>
    <w:p>
      <w:pPr>
        <w:pStyle w:val="null3"/>
      </w:pPr>
      <w:r>
        <w:rPr>
          <w:rFonts w:ascii="仿宋_GB2312" w:hAnsi="仿宋_GB2312" w:cs="仿宋_GB2312" w:eastAsia="仿宋_GB2312"/>
        </w:rPr>
        <w:t>地址：陕西省西安市雁塔区曲江街道旺座曲江M座25层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气细颗粒物（PM2.5）与臭氧（O₃）所构成的复合污染已成为影响航空基地空气质量和优良天数的关键因素。为应对这一挑战，亟需立足航空基地实际情况，推进多污染物协同减排，以此构建系统化的大气环境治理体系，并建立PM₂.₅与O₃协同管控机制。拟通过开展VOCs采样与臭氧来源解析、更新精细化大气污染源清单、数据分析、VOCs走航监测、车载激光雷达移动扫描监测，构建“固定+移动”相结合的立体监测网络，实现对污染源的精准识别、动态追踪与深度溯源。同时，通过专家培训与常态化技术保障服务，进一步增强区域大气治理的系统性和前瞻性，为航空基地空气质量持续改善提供全面支撑。基于上述目标，现采购航空基地2025年臭氧与颗粒物协同治理管控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臭氧与颗粒物协同治理管控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标的名称：臭氧与颗粒物协同治理管控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工作区域：航空基地辖区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工作内容：</w:t>
            </w:r>
          </w:p>
          <w:p>
            <w:pPr>
              <w:pStyle w:val="null3"/>
            </w:pPr>
            <w:r>
              <w:rPr>
                <w:rFonts w:ascii="仿宋_GB2312" w:hAnsi="仿宋_GB2312" w:cs="仿宋_GB2312" w:eastAsia="仿宋_GB2312"/>
              </w:rPr>
              <w:t>（一）</w:t>
            </w:r>
            <w:r>
              <w:rPr>
                <w:rFonts w:ascii="仿宋_GB2312" w:hAnsi="仿宋_GB2312" w:cs="仿宋_GB2312" w:eastAsia="仿宋_GB2312"/>
              </w:rPr>
              <w:t>VOCs采样与臭氧来源解析</w:t>
            </w:r>
          </w:p>
          <w:p>
            <w:pPr>
              <w:pStyle w:val="null3"/>
            </w:pPr>
            <w:r>
              <w:rPr>
                <w:rFonts w:ascii="仿宋_GB2312" w:hAnsi="仿宋_GB2312" w:cs="仿宋_GB2312" w:eastAsia="仿宋_GB2312"/>
              </w:rPr>
              <w:t>在辖区范围内选取</w:t>
            </w:r>
            <w:r>
              <w:rPr>
                <w:rFonts w:ascii="仿宋_GB2312" w:hAnsi="仿宋_GB2312" w:cs="仿宋_GB2312" w:eastAsia="仿宋_GB2312"/>
              </w:rPr>
              <w:t>3个具有代表性的监测点位，开展VOCs苏码罐采样与分析检测工作，每个点位实施为期1个月的连续性采样，采样频率设定为每3天采集1次样本。并依据《环境空气臭氧污染来源解析技术指南（试行）》中明确的技术规范与方法，开展臭氧污染来源解析工作，厘清航空基地臭氧来源。分析近年来臭氧来源演变趋势及原因，针对性提出科学有效的管控意见，并编制形成VOCs来源解析报告。</w:t>
            </w:r>
          </w:p>
          <w:p>
            <w:pPr>
              <w:pStyle w:val="null3"/>
            </w:pPr>
            <w:r>
              <w:rPr>
                <w:rFonts w:ascii="仿宋_GB2312" w:hAnsi="仿宋_GB2312" w:cs="仿宋_GB2312" w:eastAsia="仿宋_GB2312"/>
              </w:rPr>
              <w:t>（二）精细化大气污染源清单编制及更新服务</w:t>
            </w:r>
          </w:p>
          <w:p>
            <w:pPr>
              <w:pStyle w:val="null3"/>
            </w:pPr>
            <w:r>
              <w:rPr>
                <w:rFonts w:ascii="仿宋_GB2312" w:hAnsi="仿宋_GB2312" w:cs="仿宋_GB2312" w:eastAsia="仿宋_GB2312"/>
              </w:rPr>
              <w:t>定期对大气污染源管控名录及信息进行更新，包括在建工地、汽修、餐饮、加油站等。（</w:t>
            </w:r>
            <w:r>
              <w:rPr>
                <w:rFonts w:ascii="仿宋_GB2312" w:hAnsi="仿宋_GB2312" w:cs="仿宋_GB2312" w:eastAsia="仿宋_GB2312"/>
              </w:rPr>
              <w:t>1）编制大气精细化初步管控名录：依托航空基地已有的在建工地、汽修、餐饮、加油站等管控对象信息为基础，融合相关业务平台的大气污染源精细化管控数据，编制形成大气精细化初步管控名录；</w:t>
            </w:r>
          </w:p>
          <w:p>
            <w:pPr>
              <w:pStyle w:val="null3"/>
            </w:pPr>
            <w:r>
              <w:rPr>
                <w:rFonts w:ascii="仿宋_GB2312" w:hAnsi="仿宋_GB2312" w:cs="仿宋_GB2312" w:eastAsia="仿宋_GB2312"/>
              </w:rPr>
              <w:t>（</w:t>
            </w:r>
            <w:r>
              <w:rPr>
                <w:rFonts w:ascii="仿宋_GB2312" w:hAnsi="仿宋_GB2312" w:cs="仿宋_GB2312" w:eastAsia="仿宋_GB2312"/>
              </w:rPr>
              <w:t>2）开展现场核查与名录更新：以航空基地城管局站点为中心，结合精细化管控需求，实地核查精细化管控污染源的基本信息，同步做好核查记录。现场核查结束后，及时整理相关资料，完成精细化管控污染源名录及信息更新。若核查过程中发现新增管控污染源，需在整理现场资料后进行上报；</w:t>
            </w:r>
          </w:p>
          <w:p>
            <w:pPr>
              <w:pStyle w:val="null3"/>
            </w:pPr>
            <w:r>
              <w:rPr>
                <w:rFonts w:ascii="仿宋_GB2312" w:hAnsi="仿宋_GB2312" w:cs="仿宋_GB2312" w:eastAsia="仿宋_GB2312"/>
              </w:rPr>
              <w:t>（</w:t>
            </w:r>
            <w:r>
              <w:rPr>
                <w:rFonts w:ascii="仿宋_GB2312" w:hAnsi="仿宋_GB2312" w:cs="仿宋_GB2312" w:eastAsia="仿宋_GB2312"/>
              </w:rPr>
              <w:t>3）审核形成正式管控名录：对现场核查、完善、填报的管控污染源信息进行审核，以确保信息准确性、完整性和规范性，如审核发现信息存在问题，需重新进行核查，直至信息符合标准要求。审核通过后，形成正式精细化大气污染源管控名录及信息。</w:t>
            </w:r>
          </w:p>
          <w:p>
            <w:pPr>
              <w:pStyle w:val="null3"/>
            </w:pPr>
            <w:r>
              <w:rPr>
                <w:rFonts w:ascii="仿宋_GB2312" w:hAnsi="仿宋_GB2312" w:cs="仿宋_GB2312" w:eastAsia="仿宋_GB2312"/>
              </w:rPr>
              <w:t>（三）技术保障分析服务</w:t>
            </w:r>
          </w:p>
          <w:p>
            <w:pPr>
              <w:pStyle w:val="null3"/>
            </w:pPr>
            <w:r>
              <w:rPr>
                <w:rFonts w:ascii="仿宋_GB2312" w:hAnsi="仿宋_GB2312" w:cs="仿宋_GB2312" w:eastAsia="仿宋_GB2312"/>
              </w:rPr>
              <w:t>（</w:t>
            </w:r>
            <w:r>
              <w:rPr>
                <w:rFonts w:ascii="仿宋_GB2312" w:hAnsi="仿宋_GB2312" w:cs="仿宋_GB2312" w:eastAsia="仿宋_GB2312"/>
              </w:rPr>
              <w:t>1）污染数据跟踪评估。专家组每日对环境空气质量监测数据进行研判，根据数据监控情况提供即时的分析提醒，针对不利气象条件及高值问题及时、快速提醒并拟定应对措施，抓住重点源，通过专家组微信群下达指令。</w:t>
            </w:r>
          </w:p>
          <w:p>
            <w:pPr>
              <w:pStyle w:val="null3"/>
            </w:pPr>
            <w:r>
              <w:rPr>
                <w:rFonts w:ascii="仿宋_GB2312" w:hAnsi="仿宋_GB2312" w:cs="仿宋_GB2312" w:eastAsia="仿宋_GB2312"/>
              </w:rPr>
              <w:t>（</w:t>
            </w:r>
            <w:r>
              <w:rPr>
                <w:rFonts w:ascii="仿宋_GB2312" w:hAnsi="仿宋_GB2312" w:cs="仿宋_GB2312" w:eastAsia="仿宋_GB2312"/>
              </w:rPr>
              <w:t>2）动态更新达标任务服务。对航空基地考核指标完成情况进行动态达标统计，实时掌控重点监测指标的达标情况及剩余时间段的控制目标。</w:t>
            </w:r>
          </w:p>
          <w:p>
            <w:pPr>
              <w:pStyle w:val="null3"/>
            </w:pPr>
            <w:r>
              <w:rPr>
                <w:rFonts w:ascii="仿宋_GB2312" w:hAnsi="仿宋_GB2312" w:cs="仿宋_GB2312" w:eastAsia="仿宋_GB2312"/>
              </w:rPr>
              <w:t>（</w:t>
            </w:r>
            <w:r>
              <w:rPr>
                <w:rFonts w:ascii="仿宋_GB2312" w:hAnsi="仿宋_GB2312" w:cs="仿宋_GB2312" w:eastAsia="仿宋_GB2312"/>
              </w:rPr>
              <w:t>3）阶段性回顾分析研究。根据航空基地已有的污染源清单、空气质量监测数据、气象数据等，对航空基地空气质量情况进行分析，进行空气质量形势研判，制定针对性管控措施，形成空气质量分析月报和阶段性分析报告。</w:t>
            </w:r>
          </w:p>
          <w:p>
            <w:pPr>
              <w:pStyle w:val="null3"/>
            </w:pPr>
            <w:r>
              <w:rPr>
                <w:rFonts w:ascii="仿宋_GB2312" w:hAnsi="仿宋_GB2312" w:cs="仿宋_GB2312" w:eastAsia="仿宋_GB2312"/>
              </w:rPr>
              <w:t>（四）</w:t>
            </w:r>
            <w:r>
              <w:rPr>
                <w:rFonts w:ascii="仿宋_GB2312" w:hAnsi="仿宋_GB2312" w:cs="仿宋_GB2312" w:eastAsia="仿宋_GB2312"/>
              </w:rPr>
              <w:t>VOCs走航监测</w:t>
            </w:r>
          </w:p>
          <w:p>
            <w:pPr>
              <w:pStyle w:val="null3"/>
            </w:pPr>
            <w:r>
              <w:rPr>
                <w:rFonts w:ascii="仿宋_GB2312" w:hAnsi="仿宋_GB2312" w:cs="仿宋_GB2312" w:eastAsia="仿宋_GB2312"/>
              </w:rPr>
              <w:t>基于</w:t>
            </w:r>
            <w:r>
              <w:rPr>
                <w:rFonts w:ascii="仿宋_GB2312" w:hAnsi="仿宋_GB2312" w:cs="仿宋_GB2312" w:eastAsia="仿宋_GB2312"/>
              </w:rPr>
              <w:t>VOCs质谱仪，开展VOCs特征组分走航服务，实时分析环境空气中的有机物，锁定污染点位，快速、精准和高效的指导精细化管控。在重点时段和重点区域进行VOCs走航监测，并提供走航报告；对走航监测进行汇总，绘制区域污染地图；明确本地重点控制的VOCs污染源；确认对臭氧污染贡献显著的VOCs组分。</w:t>
            </w:r>
          </w:p>
          <w:p>
            <w:pPr>
              <w:pStyle w:val="null3"/>
            </w:pPr>
            <w:r>
              <w:rPr>
                <w:rFonts w:ascii="仿宋_GB2312" w:hAnsi="仿宋_GB2312" w:cs="仿宋_GB2312" w:eastAsia="仿宋_GB2312"/>
              </w:rPr>
              <w:t>（五）激光雷达扫描</w:t>
            </w:r>
          </w:p>
          <w:p>
            <w:pPr>
              <w:pStyle w:val="null3"/>
            </w:pPr>
            <w:r>
              <w:rPr>
                <w:rFonts w:ascii="仿宋_GB2312" w:hAnsi="仿宋_GB2312" w:cs="仿宋_GB2312" w:eastAsia="仿宋_GB2312"/>
              </w:rPr>
              <w:t>采用具有高分辨率功能的车载激光雷达，对航空基地重点时段进行监测，提供监测报告。实现污染的动态追踪，精准锁定面源污染热点，对航空基地激光雷达扫描结果进行总结。</w:t>
            </w:r>
          </w:p>
          <w:p>
            <w:pPr>
              <w:pStyle w:val="null3"/>
            </w:pPr>
            <w:r>
              <w:rPr>
                <w:rFonts w:ascii="仿宋_GB2312" w:hAnsi="仿宋_GB2312" w:cs="仿宋_GB2312" w:eastAsia="仿宋_GB2312"/>
              </w:rPr>
              <w:t>（六）其他日常工作服务</w:t>
            </w:r>
          </w:p>
          <w:p>
            <w:pPr>
              <w:pStyle w:val="null3"/>
            </w:pPr>
            <w:r>
              <w:rPr>
                <w:rFonts w:ascii="仿宋_GB2312" w:hAnsi="仿宋_GB2312" w:cs="仿宋_GB2312" w:eastAsia="仿宋_GB2312"/>
              </w:rPr>
              <w:t>（</w:t>
            </w:r>
            <w:r>
              <w:rPr>
                <w:rFonts w:ascii="仿宋_GB2312" w:hAnsi="仿宋_GB2312" w:cs="仿宋_GB2312" w:eastAsia="仿宋_GB2312"/>
              </w:rPr>
              <w:t>1）邀请国内大气治理领域专家，对生态环境部门进行专题化培训，并提供航空基地企业绩效升级指导；</w:t>
            </w:r>
          </w:p>
          <w:p>
            <w:pPr>
              <w:pStyle w:val="null3"/>
            </w:pPr>
            <w:r>
              <w:rPr>
                <w:rFonts w:ascii="仿宋_GB2312" w:hAnsi="仿宋_GB2312" w:cs="仿宋_GB2312" w:eastAsia="仿宋_GB2312"/>
              </w:rPr>
              <w:t>（</w:t>
            </w:r>
            <w:r>
              <w:rPr>
                <w:rFonts w:ascii="仿宋_GB2312" w:hAnsi="仿宋_GB2312" w:cs="仿宋_GB2312" w:eastAsia="仿宋_GB2312"/>
              </w:rPr>
              <w:t>2）结合区域环境监管服务需要，提供专业的环境支持及咨询服务团队以实现本地化、常态化服务，以周为单位，每周对航空基地上周空气量情况进行回顾分析；</w:t>
            </w:r>
          </w:p>
          <w:p>
            <w:pPr>
              <w:pStyle w:val="null3"/>
            </w:pPr>
            <w:r>
              <w:rPr>
                <w:rFonts w:ascii="仿宋_GB2312" w:hAnsi="仿宋_GB2312" w:cs="仿宋_GB2312" w:eastAsia="仿宋_GB2312"/>
                <w:sz w:val="21"/>
              </w:rPr>
              <w:t>（</w:t>
            </w:r>
            <w:r>
              <w:rPr>
                <w:rFonts w:ascii="仿宋_GB2312" w:hAnsi="仿宋_GB2312" w:cs="仿宋_GB2312" w:eastAsia="仿宋_GB2312"/>
                <w:sz w:val="21"/>
              </w:rPr>
              <w:t>3）协助做好区域大气污染防治相关工作，如方案制定、信息调度、根据空气质量形势研判进行预警预报、指挥调度等。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服务期限：服务周期四个月。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服务标准：</w:t>
            </w:r>
          </w:p>
          <w:p>
            <w:pPr>
              <w:pStyle w:val="null3"/>
            </w:pPr>
            <w:r>
              <w:rPr>
                <w:rFonts w:ascii="仿宋_GB2312" w:hAnsi="仿宋_GB2312" w:cs="仿宋_GB2312" w:eastAsia="仿宋_GB2312"/>
              </w:rPr>
              <w:t>（一）空气质量改善核心目标：航空基地优良天数同比（与去年同期相比）力争提高</w:t>
            </w:r>
            <w:r>
              <w:rPr>
                <w:rFonts w:ascii="仿宋_GB2312" w:hAnsi="仿宋_GB2312" w:cs="仿宋_GB2312" w:eastAsia="仿宋_GB2312"/>
              </w:rPr>
              <w:t>2%-3%，或综合指数同比下降2%-3%，或不低于西安市同期平均改善水平。</w:t>
            </w:r>
          </w:p>
          <w:p>
            <w:pPr>
              <w:pStyle w:val="null3"/>
            </w:pPr>
            <w:r>
              <w:rPr>
                <w:rFonts w:ascii="仿宋_GB2312" w:hAnsi="仿宋_GB2312" w:cs="仿宋_GB2312" w:eastAsia="仿宋_GB2312"/>
              </w:rPr>
              <w:t>（二）污染来源精准解析：</w:t>
            </w:r>
            <w:r>
              <w:rPr>
                <w:rFonts w:ascii="仿宋_GB2312" w:hAnsi="仿宋_GB2312" w:cs="仿宋_GB2312" w:eastAsia="仿宋_GB2312"/>
              </w:rPr>
              <w:t>VOCs采样与臭氧来源解报告需明确本地主要污染源类别。</w:t>
            </w:r>
          </w:p>
          <w:p>
            <w:pPr>
              <w:pStyle w:val="null3"/>
            </w:pPr>
            <w:r>
              <w:rPr>
                <w:rFonts w:ascii="仿宋_GB2312" w:hAnsi="仿宋_GB2312" w:cs="仿宋_GB2312" w:eastAsia="仿宋_GB2312"/>
              </w:rPr>
              <w:t>（三）污染源动态管控：精细化大气污染源清单应动态覆盖辖区内</w:t>
            </w:r>
            <w:r>
              <w:rPr>
                <w:rFonts w:ascii="仿宋_GB2312" w:hAnsi="仿宋_GB2312" w:cs="仿宋_GB2312" w:eastAsia="仿宋_GB2312"/>
              </w:rPr>
              <w:t>90%以上的已知固定污染源和重点面源。</w:t>
            </w:r>
          </w:p>
          <w:p>
            <w:pPr>
              <w:pStyle w:val="null3"/>
            </w:pPr>
            <w:r>
              <w:rPr>
                <w:rFonts w:ascii="仿宋_GB2312" w:hAnsi="仿宋_GB2312" w:cs="仿宋_GB2312" w:eastAsia="仿宋_GB2312"/>
              </w:rPr>
              <w:t>（四）技术分析响应时效：各类分析报告（月报、阶段性报告等）须在规定时限内提交。</w:t>
            </w:r>
          </w:p>
          <w:p>
            <w:pPr>
              <w:pStyle w:val="null3"/>
            </w:pPr>
            <w:r>
              <w:rPr>
                <w:rFonts w:ascii="仿宋_GB2312" w:hAnsi="仿宋_GB2312" w:cs="仿宋_GB2312" w:eastAsia="仿宋_GB2312"/>
              </w:rPr>
              <w:t>（五）走航与雷达监测效能：</w:t>
            </w:r>
            <w:r>
              <w:rPr>
                <w:rFonts w:ascii="仿宋_GB2312" w:hAnsi="仿宋_GB2312" w:cs="仿宋_GB2312" w:eastAsia="仿宋_GB2312"/>
              </w:rPr>
              <w:t>VOCs走航监测和激光雷达扫描须在规定时限内提交分析报告。</w:t>
            </w:r>
          </w:p>
          <w:p>
            <w:pPr>
              <w:pStyle w:val="null3"/>
            </w:pPr>
            <w:r>
              <w:rPr>
                <w:rFonts w:ascii="仿宋_GB2312" w:hAnsi="仿宋_GB2312" w:cs="仿宋_GB2312" w:eastAsia="仿宋_GB2312"/>
                <w:sz w:val="21"/>
              </w:rPr>
              <w:t>（六）培训与常态化服务：专题培训参训人员满意度不低于</w:t>
            </w:r>
            <w:r>
              <w:rPr>
                <w:rFonts w:ascii="仿宋_GB2312" w:hAnsi="仿宋_GB2312" w:cs="仿宋_GB2312" w:eastAsia="仿宋_GB2312"/>
                <w:sz w:val="21"/>
              </w:rPr>
              <w:t>90%。每周一按时提交《空气质量周总结报告》。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成果交付要求：</w:t>
            </w:r>
          </w:p>
          <w:p>
            <w:pPr>
              <w:pStyle w:val="null3"/>
            </w:pPr>
            <w:r>
              <w:rPr>
                <w:rFonts w:ascii="仿宋_GB2312" w:hAnsi="仿宋_GB2312" w:cs="仿宋_GB2312" w:eastAsia="仿宋_GB2312"/>
              </w:rPr>
              <w:t>（一）提交航空基地臭氧来源解析报告</w:t>
            </w:r>
            <w:r>
              <w:rPr>
                <w:rFonts w:ascii="仿宋_GB2312" w:hAnsi="仿宋_GB2312" w:cs="仿宋_GB2312" w:eastAsia="仿宋_GB2312"/>
              </w:rPr>
              <w:t>1份。</w:t>
            </w:r>
          </w:p>
          <w:p>
            <w:pPr>
              <w:pStyle w:val="null3"/>
            </w:pPr>
            <w:r>
              <w:rPr>
                <w:rFonts w:ascii="仿宋_GB2312" w:hAnsi="仿宋_GB2312" w:cs="仿宋_GB2312" w:eastAsia="仿宋_GB2312"/>
              </w:rPr>
              <w:t>（二）提交《航空基地精细化大气污染源管控名录》</w:t>
            </w:r>
            <w:r>
              <w:rPr>
                <w:rFonts w:ascii="仿宋_GB2312" w:hAnsi="仿宋_GB2312" w:cs="仿宋_GB2312" w:eastAsia="仿宋_GB2312"/>
              </w:rPr>
              <w:t>1份。</w:t>
            </w:r>
          </w:p>
          <w:p>
            <w:pPr>
              <w:pStyle w:val="null3"/>
            </w:pPr>
            <w:r>
              <w:rPr>
                <w:rFonts w:ascii="仿宋_GB2312" w:hAnsi="仿宋_GB2312" w:cs="仿宋_GB2312" w:eastAsia="仿宋_GB2312"/>
              </w:rPr>
              <w:t>（三）</w:t>
            </w:r>
            <w:r>
              <w:rPr>
                <w:rFonts w:ascii="仿宋_GB2312" w:hAnsi="仿宋_GB2312" w:cs="仿宋_GB2312" w:eastAsia="仿宋_GB2312"/>
              </w:rPr>
              <w:t>①根据数据监控情况提供即时的不利气象条件和突发高值提醒；②根据指标任务，每日更新指标达标情况及剩余时间段的控制目标；③提交空气质量分析月报5份；④提交空气质量阶段性分析报告1份。</w:t>
            </w:r>
          </w:p>
          <w:p>
            <w:pPr>
              <w:pStyle w:val="null3"/>
            </w:pPr>
            <w:r>
              <w:rPr>
                <w:rFonts w:ascii="仿宋_GB2312" w:hAnsi="仿宋_GB2312" w:cs="仿宋_GB2312" w:eastAsia="仿宋_GB2312"/>
              </w:rPr>
              <w:t>（四）根据</w:t>
            </w:r>
            <w:r>
              <w:rPr>
                <w:rFonts w:ascii="仿宋_GB2312" w:hAnsi="仿宋_GB2312" w:cs="仿宋_GB2312" w:eastAsia="仿宋_GB2312"/>
              </w:rPr>
              <w:t>VOCs走航次数提供走航分析日报。提交1份走航总结报告。</w:t>
            </w:r>
          </w:p>
          <w:p>
            <w:pPr>
              <w:pStyle w:val="null3"/>
            </w:pPr>
            <w:r>
              <w:rPr>
                <w:rFonts w:ascii="仿宋_GB2312" w:hAnsi="仿宋_GB2312" w:cs="仿宋_GB2312" w:eastAsia="仿宋_GB2312"/>
              </w:rPr>
              <w:t>（五）根据激光雷达扫描次数提供分析报告。提交</w:t>
            </w:r>
            <w:r>
              <w:rPr>
                <w:rFonts w:ascii="仿宋_GB2312" w:hAnsi="仿宋_GB2312" w:cs="仿宋_GB2312" w:eastAsia="仿宋_GB2312"/>
              </w:rPr>
              <w:t>1份激光雷达扫描总结报告。</w:t>
            </w:r>
          </w:p>
          <w:p>
            <w:pPr>
              <w:pStyle w:val="null3"/>
            </w:pPr>
            <w:r>
              <w:rPr>
                <w:rFonts w:ascii="仿宋_GB2312" w:hAnsi="仿宋_GB2312" w:cs="仿宋_GB2312" w:eastAsia="仿宋_GB2312"/>
                <w:sz w:val="21"/>
              </w:rPr>
              <w:t>（六）</w:t>
            </w:r>
            <w:r>
              <w:rPr>
                <w:rFonts w:ascii="仿宋_GB2312" w:hAnsi="仿宋_GB2312" w:cs="仿宋_GB2312" w:eastAsia="仿宋_GB2312"/>
                <w:sz w:val="21"/>
              </w:rPr>
              <w:t>①邀请国内知名专家进行宣讲、调研指导等，共计三次；②提交航空基地空气质量情况周总结报告，不少于20份；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要求包括专家支持团队和后台科学分析团队，包含技术指导、空气质量预警预报、企业治理咨询服务等。服务团队通过对大气复合污染的特征和成因进行分析，通过大量数据分析，为航空基地大气污染提供科技支撑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针对本项目提供所需要的设备配置齐全、资料内容完整。</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 （一）空气质量改善核心目标：空气质量改善核心目标：航空基地优良天数同比（与去年同期相比）力争提高2%-3%，或综合指数同比下降2%-3%，或不低于西安市同期平均改善水平。 （二）污染来源精准解析：VOCs采样与臭氧来源解报告需明确本地主要污染源类别。 （三）污染源动态管控：精细化大气污染源清单应动态覆盖辖区内90%以上的已知固定污染源和重点面源。 （四）技术分析响应时效：各类分析报告（月报、阶段性报告等）须在规定时限内提交。 （五）走航与雷达监测效能：VOCs走航监测和激光雷达扫描须在规定时限内提交分析报告。 （六）培训与常态化服务：专题培训参训人员满意度不低于90%。每周一按时提交《空气质量周总结报告》。</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服务周期四个月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航空基地辖区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合同期满后15日内，采购人组织成立验收小组，按照采购合同的约定完成对供应商项目服务内容的验收。验收结束后，出具验收单，列明验收情况及项目总体评价，由验收双方共同签署。</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项目服务完成，采购人履约验收后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1.1双方均应按本合同的约定履行本合同项下的义务，本合同的任何一方违反本合同的约定给对方造成损失的，都应当赔偿另一方因此而遭受的损失。 1.2供应商在约定期限内不能按要求提供技术服务或未完成工作任务的，则每迟延一天，供应商向采购人支付逾期服务部分对应合同款的0.5％的违约金，逾期超过20个日历日的，采购人有权解除合同，并要求供应商应按本合同总价款的10％向采购人支付违约金。若供应商未按照合同要求向采购人提供工作成果，或者提供的工作成果给采购人造成损失的，供应商应当赔偿采购人因此而遭受的全部损失。 1.3合同履行中任何一方无正当理由，单方提出解除或终止合同，均属单方违约，违约方除承担赔偿因此造成对方的全部经济损失外，还必须向对方支付本合同总价款的5%违约金。 1.4本合同中规定的赔偿费用，违约一方必须在终止本合同后，一个月内一次性支付给对方。 2.合同争议解决的方式 本合同在履行过程中发生的争议，由双方当事人协商解决，协商不成的依法向有管辖权的人民法院提起诉讼。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中标结果发布后，将纸质版响应文件正本1册、副本2册打印盖章后提交至招标代理公司（永明项目管理有限公司：陕西省西安市雁塔区曲江街道旺座曲江M座25层），以便采购人进行留存备案等工作，成交供应商应保持响应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法定代表人（主要负责人）或其授权代理人身份证明</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响应文件截止时间前近三个月内任意一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任选其一）：1.2024年度经审计的财务会计报告（至少包括审计报告、资产负债表、现金流量表、利润表及附注，成立时间至提交响应文件截止时间不足一年的可提供成立后任意时段的资产负债表）2.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提供具有履行的专业技术承诺</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其他资料</w:t>
            </w:r>
          </w:p>
        </w:tc>
        <w:tc>
          <w:tcPr>
            <w:tcW w:type="dxa" w:w="3322"/>
          </w:tcPr>
          <w:p>
            <w:pPr>
              <w:pStyle w:val="null3"/>
            </w:pPr>
            <w:r>
              <w:rPr>
                <w:rFonts w:ascii="仿宋_GB2312" w:hAnsi="仿宋_GB2312" w:cs="仿宋_GB2312" w:eastAsia="仿宋_GB2312"/>
              </w:rPr>
              <w:t>1.单位负责人为同一人或者存在直接控股、管理关系的不同投标人，不得参加同一合同项下的政府采购活动；2.本项目不接受联合体投标。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供应商应提交的相关资格证明材料.docx 服务要求、商务要求及其他要求应答表.docx 供应商类似项目业绩一览表.docx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竞争性磋商响应文件签字及盖章</w:t>
            </w:r>
          </w:p>
        </w:tc>
        <w:tc>
          <w:tcPr>
            <w:tcW w:type="dxa" w:w="3322"/>
          </w:tcPr>
          <w:p>
            <w:pPr>
              <w:pStyle w:val="null3"/>
            </w:pPr>
            <w:r>
              <w:rPr>
                <w:rFonts w:ascii="仿宋_GB2312" w:hAnsi="仿宋_GB2312" w:cs="仿宋_GB2312" w:eastAsia="仿宋_GB2312"/>
              </w:rPr>
              <w:t>竞争性磋商文件要求盖章或签字处均需要盖章或签字</w:t>
            </w:r>
          </w:p>
        </w:tc>
        <w:tc>
          <w:tcPr>
            <w:tcW w:type="dxa" w:w="1661"/>
          </w:tcPr>
          <w:p>
            <w:pPr>
              <w:pStyle w:val="null3"/>
            </w:pPr>
            <w:r>
              <w:rPr>
                <w:rFonts w:ascii="仿宋_GB2312" w:hAnsi="仿宋_GB2312" w:cs="仿宋_GB2312" w:eastAsia="仿宋_GB2312"/>
              </w:rPr>
              <w:t>响应文件封面 供应商应提交的相关资格证明材料.docx 服务要求、商务要求及其他要求应答表.docx 供应商类似项目业绩一览表.docx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（2）供应商报价超过最高限价的竞争性磋商响应文件为无效投标。</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四个月</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评审得分相同的，按照最后报价由低到高的顺序推荐。评审得分且最后报价相同的，按照针对本项目的服务方案优劣顺序推荐。评审得分且最后报价且针对本项目的服务方案得分均相同的，成交候选供应商并列。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针对本项目的服务方案</w:t>
            </w:r>
          </w:p>
        </w:tc>
        <w:tc>
          <w:tcPr>
            <w:tcW w:type="dxa" w:w="2492"/>
          </w:tcPr>
          <w:p>
            <w:pPr>
              <w:pStyle w:val="null3"/>
            </w:pPr>
            <w:r>
              <w:rPr>
                <w:rFonts w:ascii="仿宋_GB2312" w:hAnsi="仿宋_GB2312" w:cs="仿宋_GB2312" w:eastAsia="仿宋_GB2312"/>
              </w:rPr>
              <w:t>供应商针对本项目制定服务方案。包括但不限于服务计划、服务标准、服务实施方案、成果交付及验收等内容。 评审标准： 1.供应商针对本项目提供的服务方案内容详细、清晰、科学合理、可操作性强、可执行程度高，能结合项目实际情况很好的满足项目需求，得10分； 2.供应商针对本项目提供的服务方案内容完整、合理可行，能结合项目实际情况满足项目需求，得8分； 3.供应商针对本项目提供的服务方案内容一般、基本合理、可操作性一般，基本能满足项目需求，得6分； 4.供应商针对本项目提供的服务方案内容及思路简单、方案粗糙、可操作性不强，基本能对项目实施起辅助作用，得4分； 5.供应商针对本项目提供的服务方案内容不完整、思路不清晰，不能满足项目需求，得2分； 6.未提供针对本项目的服务方案得0分。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拟投入本项目的主要人员团队</w:t>
            </w:r>
          </w:p>
        </w:tc>
        <w:tc>
          <w:tcPr>
            <w:tcW w:type="dxa" w:w="2492"/>
          </w:tcPr>
          <w:p>
            <w:pPr>
              <w:pStyle w:val="null3"/>
            </w:pPr>
            <w:r>
              <w:rPr>
                <w:rFonts w:ascii="仿宋_GB2312" w:hAnsi="仿宋_GB2312" w:cs="仿宋_GB2312" w:eastAsia="仿宋_GB2312"/>
              </w:rPr>
              <w:t>供应商针对本项目提供主要人员团队及职能分工，包括但不限于项目负责人、技术人员、售后服务人员等。 评审标准： 1.供应商针对本项目提供的主要人员团队人员充足、经验丰富、职能划分明确合理，能很好的满足项目需求，得10分； 2.供应商针对本项目提供的主要人员团队人员充足、有相关类似项目经验、有明确的职能划分，能满足项目需求，得8分； 3.供应商针对本项目提供的主要人员团队人员满足项目需求、类似经验较少、有职能划分，能对项目实施起辅助作用，得6分； 4.供应商针对本项目提供有主要人员团队人员基本满足项目需求、没有类似经验、职能划分不清晰，基本能对项目实施起辅助作用，得4分； 5.供应商针对本项目提供有主要人员团队人员不足、没有类似经验、不能满足项目需求，得2分； 6.未提供拟投入本项目的主要人员团队得0分。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拟投入本项目的主要设备</w:t>
            </w:r>
          </w:p>
        </w:tc>
        <w:tc>
          <w:tcPr>
            <w:tcW w:type="dxa" w:w="2492"/>
          </w:tcPr>
          <w:p>
            <w:pPr>
              <w:pStyle w:val="null3"/>
            </w:pPr>
            <w:r>
              <w:rPr>
                <w:rFonts w:ascii="仿宋_GB2312" w:hAnsi="仿宋_GB2312" w:cs="仿宋_GB2312" w:eastAsia="仿宋_GB2312"/>
              </w:rPr>
              <w:t>供应商针对本项目提供所需要的各类仪器设备工具，需提供相关证明材料（设备购置合同或发票或租赁合同等复印件）。 评审标准： 1.供应商针对本项目提供的主要设备数量、种类、配置充足、证明材料内容完整、清晰，能很好满足项目需求，得10分； 2.供应商针对本项目提供的主要设备充足、证明材料内容完整，能满足项目需求，得8分； 3.供应商针对本项目提供的主要设备基本满足项目需求、证明材料不完整，基本能满足项目需求，得6分； 4.供应商针对本项目提供有主要设备不足、证明材料不完整，能对项目实施起辅助作用，得4分； 5.供应商针对本项目提供有主要设备不足、无证明材料，不能满足项目需求，得2分； 6.未提供拟投入本项目的主要设备得0分。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针对本项目的质量保证措施</w:t>
            </w:r>
          </w:p>
        </w:tc>
        <w:tc>
          <w:tcPr>
            <w:tcW w:type="dxa" w:w="2492"/>
          </w:tcPr>
          <w:p>
            <w:pPr>
              <w:pStyle w:val="null3"/>
            </w:pPr>
            <w:r>
              <w:rPr>
                <w:rFonts w:ascii="仿宋_GB2312" w:hAnsi="仿宋_GB2312" w:cs="仿宋_GB2312" w:eastAsia="仿宋_GB2312"/>
              </w:rPr>
              <w:t>供应商针对本项目质量保证措施。 评审标准： 1.供应商针对本项目提供的质量保证措施内容详细、目标明确、科学合理、操作性强、可执行程度高，能结合项目实际情况很好的满足项目需求，得10分； 2.供应商针对本项目提供的质量保证措施内容完整、合理、可执行程度高，能结合项目实际情况满足项目需求，得8分； 3.供应商针对本项目提供的质量保证措施内容一般、基本合理、可行，基本能满足项目需求，得6分； 4.供应商针对本项目提供的质量保证措施内容简单、保证措施不完善、可操作性不强，基本能对项目实施起辅助作用，得4分； 5.供应商针对本项目提供的质量保证措施内容不完整、思路不清晰，不能满足项目需求，得2分； 6.未提供针对本项目的质量保证措施得0分。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针对本项目的进度保证措施</w:t>
            </w:r>
          </w:p>
        </w:tc>
        <w:tc>
          <w:tcPr>
            <w:tcW w:type="dxa" w:w="2492"/>
          </w:tcPr>
          <w:p>
            <w:pPr>
              <w:pStyle w:val="null3"/>
            </w:pPr>
            <w:r>
              <w:rPr>
                <w:rFonts w:ascii="仿宋_GB2312" w:hAnsi="仿宋_GB2312" w:cs="仿宋_GB2312" w:eastAsia="仿宋_GB2312"/>
              </w:rPr>
              <w:t>供应商针对本项目进度保证措施。 评审标准： 1.供应商针对本项目提供的进度保证措施内容详细、进度明确、科学合理、节点清晰、可执行程度高，能结合项目实际情况很好的满足项目需求，得10分； 2.供应商针对本项目提供的进度保证措施内容完整、科学合理、可执行程度高，能结合项目实际情况满足项目需求，得8分； 3.供应商针对本项目提供的进度保证措施内容一般、基本合理、可行，基本能满足项目需求，得6分； 4.供应商针对本项目提供的进度保证措施内容简单、进度时间节点模糊、可操作性不强，基本能对项目实施起辅助作用，得4分； 5.供应商针对本项目提供的进度保证措施内容不完整、思路不清晰，不能满足项目需求，得2分； 6.未提供针对本项目的进度保证措施得0分。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针对本项目的工作重点、难点分析</w:t>
            </w:r>
          </w:p>
        </w:tc>
        <w:tc>
          <w:tcPr>
            <w:tcW w:type="dxa" w:w="2492"/>
          </w:tcPr>
          <w:p>
            <w:pPr>
              <w:pStyle w:val="null3"/>
            </w:pPr>
            <w:r>
              <w:rPr>
                <w:rFonts w:ascii="仿宋_GB2312" w:hAnsi="仿宋_GB2312" w:cs="仿宋_GB2312" w:eastAsia="仿宋_GB2312"/>
              </w:rPr>
              <w:t>供应商针对本项目制定工作重点、难点分析。 评审标准： 1.供应商针对本项目提供的工作重点、难点分析内容详细、清晰、科学合理、可操作性强、可执行程度高，能结合项目实际情况很好的满足项目需求，得10分； 2.供应商针对本项目提供的工作重点、难点分析内容完整、合理可行，能结合项目实际情况满足项目需求，得8分； 3.供应商针对本项目提供的工作重点、难点分析内容一般、基本合理、可操作性一般，基本能满足项目需求，得6分； 4.供应商针对本项目提供的工作重点、难点分析内容及思路简单、方案粗糙、可操作性不强，基本能对项目实施起辅助作用，得4分； 5.供应商针对本项目提供的工作重点、难点分析内容不完整、思路不清晰，不能满足项目需求，得2分； 6.未提供针对本项目的工作重点、难点分析得0分。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针对本项目的合理化建议</w:t>
            </w:r>
          </w:p>
        </w:tc>
        <w:tc>
          <w:tcPr>
            <w:tcW w:type="dxa" w:w="2492"/>
          </w:tcPr>
          <w:p>
            <w:pPr>
              <w:pStyle w:val="null3"/>
            </w:pPr>
            <w:r>
              <w:rPr>
                <w:rFonts w:ascii="仿宋_GB2312" w:hAnsi="仿宋_GB2312" w:cs="仿宋_GB2312" w:eastAsia="仿宋_GB2312"/>
              </w:rPr>
              <w:t>供应商针对本项目制定合理化建议。 评审标准： 1.供应商针对本项目提供的合理化建议内容详细、清晰、科学合理、可操作性强、可执行程度高，能结合项目实际情况很好的满足项目需求，得10分； 2.供应商针对本项目提供的合理化建议内容完整、合理可行，能结合项目实际情况满足项目需求，得8分； 3.供应商针对本项目提供的合理化建议内容一般、基本合理、可操作性一般，基本能满足项目需求，得6分； 4.供应商针对本项目提供的合理化建议内容及思路简单、方案粗糙、可操作性不强，基本能对项目实施起辅助作用，得4分； 5.供应商针对本项目提供的合理化建议内容不完整、思路不清晰，不能满足项目需求，得2分； 6.未提供针对本项目的合理化建议得0分。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针对本项目的售后服务方案</w:t>
            </w:r>
          </w:p>
        </w:tc>
        <w:tc>
          <w:tcPr>
            <w:tcW w:type="dxa" w:w="2492"/>
          </w:tcPr>
          <w:p>
            <w:pPr>
              <w:pStyle w:val="null3"/>
            </w:pPr>
            <w:r>
              <w:rPr>
                <w:rFonts w:ascii="仿宋_GB2312" w:hAnsi="仿宋_GB2312" w:cs="仿宋_GB2312" w:eastAsia="仿宋_GB2312"/>
              </w:rPr>
              <w:t>供应商针对本项目制定售后服务方案。包括但不限于售后服务期限、后期服务配合计划、服务方式、时间、服务承诺等。 评审标准： 1.供应商针对本项目提供的售后服务方案内容详细、清晰、科学合理、可操作性强、可执行程度高，能结合项目实际情况很好的满足项目需求，得10分； 2.供应商针对本项目提供的售后服务方案内容完整、合理可行，能结合项目实际情况满足项目需求，得8分； 3.供应商针对本项目提供的售后服务方案内容一般、基本合理、可操作性一般，基本能满足项目需求，得6分； 4.供应商针对本项目提供的售后服务方案内容及思路简单、方案粗糙、可操作性不强，基本能对项目实施起辅助作用，得4分； 5.供应商针对本项目提供的售后服务方案内容不完整、思路不清晰，不能满足项目需求，得2分； 6.未提供针对本项目的售后服务方案得0分。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根据供应商自2022年1月1日以来的类似项目业绩进行评审（每个业绩证明需提供加盖供应商公章的合同复印件作为评审依据，时间以合同签订时间为准）。 评审标准： 每提供一份有效业绩证明得2分，满分为10分。未提供的不计分。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1.满足竞争性磋商文件要求且最终报价最低的供应商的价格为磋商基准价，其价格分为满分10分。 2.磋商报价得分=(磋商基准价/最终磋商报价)×10%×100 。计算分数时四舍五入取小数点后两位。（对小型和微型企业、监狱企业、残疾人福利性单位提供的本企业产品或其他小微企业产品的价格给予10%的价格扣除，用扣除后的价格参与评审，除此之外的其他情形均不适用本款规定；未提供声明函的不享受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详见附件：服务要求、商务要求及其他要求应答表.docx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