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版本号：SZT2025-SN-QC-ZC-FW-113620251215001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西安航空基地2025-2027年规划技术审查服务项目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SZT2025-SN-QC-ZC-FW-1136</w:t>
      </w:r>
      <w:r>
        <w:br/>
      </w:r>
      <w:r>
        <w:br/>
      </w:r>
      <w:r>
        <w:br/>
      </w:r>
    </w:p>
    <w:p>
      <w:pPr>
        <w:pStyle w:val="null3"/>
        <w:jc w:val="center"/>
        <w:outlineLvl w:val="2"/>
      </w:pPr>
      <w:r>
        <w:rPr>
          <w:rFonts w:ascii="仿宋_GB2312" w:hAnsi="仿宋_GB2312" w:cs="仿宋_GB2312" w:eastAsia="仿宋_GB2312"/>
          <w:sz w:val="28"/>
          <w:b/>
        </w:rPr>
        <w:t>西安阎良国家航空高技术产业基地管理委员会</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西安阎良国家航空高技术产业基地管理委员会</w:t>
      </w:r>
      <w:r>
        <w:rPr>
          <w:rFonts w:ascii="仿宋_GB2312" w:hAnsi="仿宋_GB2312" w:cs="仿宋_GB2312" w:eastAsia="仿宋_GB2312"/>
        </w:rPr>
        <w:t>委托，拟对</w:t>
      </w:r>
      <w:r>
        <w:rPr>
          <w:rFonts w:ascii="仿宋_GB2312" w:hAnsi="仿宋_GB2312" w:cs="仿宋_GB2312" w:eastAsia="仿宋_GB2312"/>
        </w:rPr>
        <w:t>西安航空基地2025-2027年规划技术审查服务项目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SZT2025-SN-QC-ZC-FW-1136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西安航空基地2025-2027年规划技术审查服务项目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建筑工程设计方案技术审查，实施详细规划技术审查。具体要求详见磋商文件。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采购包1（西安航空基地2025-2027年规划技术审查服务项目）：属于专门面向中小企业采购。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1、供应商：供应商须具有城乡规划（国土空间规划）编制乙级（或以上）资质（或自然资源主管部门核发城乡规划编制乙级（或以上）资质）。</w:t>
      </w:r>
    </w:p>
    <w:p>
      <w:pPr>
        <w:pStyle w:val="null3"/>
      </w:pPr>
      <w:r>
        <w:rPr>
          <w:rFonts w:ascii="仿宋_GB2312" w:hAnsi="仿宋_GB2312" w:cs="仿宋_GB2312" w:eastAsia="仿宋_GB2312"/>
        </w:rPr>
        <w:t>2、合法授权：供应商应授权合法的人员参加磋商，其中法定代表人直接参加的，须出具法定代表人证明书；被授权代表参加的，须出具法定代表人授权书及被授权人本单位证明 (近三个月内任意一个月社保缴纳证明)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西安阎良国家航空高技术产业基地管理委员会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西安市阎良区蓝天路88号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029-86867281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西安莲湖区高新四路 1 号高科广场 A 座 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西安阎良国家航空高新技术产业基地管理委员会政府采购管理股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周洋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86851971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采购包1：1,836,000.00元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不属于</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不属于</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代理服务费收费标准：招标代理服务费的收取以预算金额按照国家发展计划委员会计价格[2002]1980号文件规定的服务标准收取。开户名称：陕西中技招标有限公司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西安阎良国家航空高技术产业基地管理委员会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西安阎良国家航空高技术产业基地管理委员会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联系人：戴工</w:t>
      </w:r>
    </w:p>
    <w:p>
      <w:pPr>
        <w:pStyle w:val="null3"/>
      </w:pPr>
      <w:r>
        <w:rPr>
          <w:rFonts w:ascii="仿宋_GB2312" w:hAnsi="仿宋_GB2312" w:cs="仿宋_GB2312" w:eastAsia="仿宋_GB2312"/>
        </w:rPr>
        <w:t>联系电话：029-87304326-846</w:t>
      </w:r>
    </w:p>
    <w:p>
      <w:pPr>
        <w:pStyle w:val="null3"/>
      </w:pPr>
      <w:r>
        <w:rPr>
          <w:rFonts w:ascii="仿宋_GB2312" w:hAnsi="仿宋_GB2312" w:cs="仿宋_GB2312" w:eastAsia="仿宋_GB2312"/>
        </w:rPr>
        <w:t>地址：西安莲湖区高新四路 1 号高科广场 A 座 1001 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建筑工程设计方案技术审查，实施详细规划技术审查。具体要求详见磋商文件。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1,836,000.00</w:t>
      </w:r>
    </w:p>
    <w:p>
      <w:pPr>
        <w:pStyle w:val="null3"/>
      </w:pPr>
      <w:r>
        <w:rPr>
          <w:rFonts w:ascii="仿宋_GB2312" w:hAnsi="仿宋_GB2312" w:cs="仿宋_GB2312" w:eastAsia="仿宋_GB2312"/>
        </w:rPr>
        <w:t>采购包最高限价（元）: 1,836,000.00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规划技术审查服务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1,836,000.00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标的名称：规划技术审查服务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一、项目概况</w:t>
            </w:r>
          </w:p>
          <w:p>
            <w:pPr>
              <w:pStyle w:val="null3"/>
            </w:pPr>
            <w:r>
              <w:rPr>
                <w:rFonts w:ascii="仿宋_GB2312" w:hAnsi="仿宋_GB2312" w:cs="仿宋_GB2312" w:eastAsia="仿宋_GB2312"/>
              </w:rPr>
              <w:t>为了响应全市审批新规要求，做好许可服务保障，高质量推进办件实效，依据《陕西省自然资源厅关于进一步强化规划许可规范规划实施监督管理的意见》、《一书三证管理实施细则》、《西安市国土空间城镇开发边界内详细规划编制审批管理实施监督暂行规定》等文件，拟采购地块实施详细规划成果技术审查、建设工程规划设计方案技术审查第三方服务事项。</w:t>
            </w:r>
          </w:p>
          <w:p>
            <w:pPr>
              <w:pStyle w:val="null3"/>
            </w:pPr>
            <w:r>
              <w:rPr>
                <w:rFonts w:ascii="仿宋_GB2312" w:hAnsi="仿宋_GB2312" w:cs="仿宋_GB2312" w:eastAsia="仿宋_GB2312"/>
                <w:sz w:val="24"/>
              </w:rPr>
              <w:t>二、服务内容</w:t>
            </w:r>
          </w:p>
          <w:p>
            <w:pPr>
              <w:pStyle w:val="null3"/>
            </w:pPr>
            <w:r>
              <w:rPr>
                <w:rFonts w:ascii="仿宋_GB2312" w:hAnsi="仿宋_GB2312" w:cs="仿宋_GB2312" w:eastAsia="仿宋_GB2312"/>
                <w:sz w:val="24"/>
              </w:rPr>
              <w:t>（一）实施详细规划成果技术审查</w:t>
            </w:r>
          </w:p>
          <w:p>
            <w:pPr>
              <w:pStyle w:val="null3"/>
            </w:pPr>
            <w:r>
              <w:rPr>
                <w:rFonts w:ascii="仿宋_GB2312" w:hAnsi="仿宋_GB2312" w:cs="仿宋_GB2312" w:eastAsia="仿宋_GB2312"/>
                <w:sz w:val="21"/>
              </w:rPr>
              <w:t>按照国家、地方行业技术标准及管理规定，对规划成果开展技术审查并出具技术审查报告。审查内容包括成果规范性审查、上位规划符合性审查、技术标准符合性审查、合理性审查以及结合行业要求开展的其他专项审查。</w:t>
            </w:r>
          </w:p>
          <w:p>
            <w:pPr>
              <w:pStyle w:val="null3"/>
            </w:pPr>
            <w:r>
              <w:rPr>
                <w:rFonts w:ascii="仿宋_GB2312" w:hAnsi="仿宋_GB2312" w:cs="仿宋_GB2312" w:eastAsia="仿宋_GB2312"/>
                <w:sz w:val="21"/>
              </w:rPr>
              <w:t>1、成果规范性审查。审查规划成果的完整性、规范性、一致性；</w:t>
            </w:r>
          </w:p>
          <w:p>
            <w:pPr>
              <w:pStyle w:val="null3"/>
            </w:pPr>
            <w:r>
              <w:rPr>
                <w:rFonts w:ascii="仿宋_GB2312" w:hAnsi="仿宋_GB2312" w:cs="仿宋_GB2312" w:eastAsia="仿宋_GB2312"/>
                <w:sz w:val="21"/>
              </w:rPr>
              <w:t>2、上位规划符合性审查。审查上位规划确定的各类控制线、用地布局、约束性指标、重大设施等传导落实情况；</w:t>
            </w:r>
          </w:p>
          <w:p>
            <w:pPr>
              <w:pStyle w:val="null3"/>
            </w:pPr>
            <w:r>
              <w:rPr>
                <w:rFonts w:ascii="仿宋_GB2312" w:hAnsi="仿宋_GB2312" w:cs="仿宋_GB2312" w:eastAsia="仿宋_GB2312"/>
                <w:sz w:val="21"/>
              </w:rPr>
              <w:t>3、技术标准符合性审查。审查控制指标、配套设施、城市设计等内容是否满足相关技术标准及规范要求；</w:t>
            </w:r>
          </w:p>
          <w:p>
            <w:pPr>
              <w:pStyle w:val="null3"/>
            </w:pPr>
            <w:r>
              <w:rPr>
                <w:rFonts w:ascii="仿宋_GB2312" w:hAnsi="仿宋_GB2312" w:cs="仿宋_GB2312" w:eastAsia="仿宋_GB2312"/>
                <w:sz w:val="21"/>
              </w:rPr>
              <w:t>4、合理性审查。审查规划用地是否涉及现状不可拆除、已核发规划许可、已有权属用地、邻避设施等实施性内容；</w:t>
            </w:r>
          </w:p>
          <w:p>
            <w:pPr>
              <w:pStyle w:val="null3"/>
            </w:pPr>
            <w:r>
              <w:rPr>
                <w:rFonts w:ascii="仿宋_GB2312" w:hAnsi="仿宋_GB2312" w:cs="仿宋_GB2312" w:eastAsia="仿宋_GB2312"/>
                <w:sz w:val="21"/>
              </w:rPr>
              <w:t>5、结合行业要求开展的其他专项审查。</w:t>
            </w:r>
          </w:p>
          <w:p>
            <w:pPr>
              <w:pStyle w:val="null3"/>
            </w:pPr>
            <w:r>
              <w:rPr>
                <w:rFonts w:ascii="仿宋_GB2312" w:hAnsi="仿宋_GB2312" w:cs="仿宋_GB2312" w:eastAsia="仿宋_GB2312"/>
                <w:sz w:val="24"/>
              </w:rPr>
              <w:t>（二）建筑工程设计方案技术审查</w:t>
            </w:r>
          </w:p>
          <w:p>
            <w:pPr>
              <w:pStyle w:val="null3"/>
            </w:pPr>
            <w:r>
              <w:rPr>
                <w:rFonts w:ascii="仿宋_GB2312" w:hAnsi="仿宋_GB2312" w:cs="仿宋_GB2312" w:eastAsia="仿宋_GB2312"/>
                <w:sz w:val="21"/>
              </w:rPr>
              <w:t>1、政策标准研究</w:t>
            </w:r>
          </w:p>
          <w:p>
            <w:pPr>
              <w:pStyle w:val="null3"/>
            </w:pPr>
            <w:r>
              <w:rPr>
                <w:rFonts w:ascii="仿宋_GB2312" w:hAnsi="仿宋_GB2312" w:cs="仿宋_GB2312" w:eastAsia="仿宋_GB2312"/>
                <w:sz w:val="21"/>
              </w:rPr>
              <w:t>收集、整理国家、省、市在面积计算、停车配建、建筑景观风貌等工程证核发方面的新政策、新标准、新规范，形成规范性汇编；</w:t>
            </w:r>
          </w:p>
          <w:p>
            <w:pPr>
              <w:pStyle w:val="null3"/>
            </w:pPr>
            <w:r>
              <w:rPr>
                <w:rFonts w:ascii="仿宋_GB2312" w:hAnsi="仿宋_GB2312" w:cs="仿宋_GB2312" w:eastAsia="仿宋_GB2312"/>
                <w:sz w:val="21"/>
              </w:rPr>
              <w:t>2、建设用地合规性审查。</w:t>
            </w:r>
          </w:p>
          <w:p>
            <w:pPr>
              <w:pStyle w:val="null3"/>
            </w:pPr>
            <w:r>
              <w:rPr>
                <w:rFonts w:ascii="仿宋_GB2312" w:hAnsi="仿宋_GB2312" w:cs="仿宋_GB2312" w:eastAsia="仿宋_GB2312"/>
                <w:sz w:val="21"/>
              </w:rPr>
              <w:t>对于在土地供应阶段或在企业原有用地上建设，未做过合规性审查的项目进行建设用地合规性审查，出具合规性审查报告。</w:t>
            </w:r>
          </w:p>
          <w:p>
            <w:pPr>
              <w:pStyle w:val="null3"/>
            </w:pPr>
            <w:r>
              <w:rPr>
                <w:rFonts w:ascii="仿宋_GB2312" w:hAnsi="仿宋_GB2312" w:cs="仿宋_GB2312" w:eastAsia="仿宋_GB2312"/>
                <w:sz w:val="21"/>
              </w:rPr>
              <w:t>3、数据规整：对建筑工程设计方案（包括总图和单体）进行数据标准化处理，使之满足智能审查要求；</w:t>
            </w:r>
          </w:p>
          <w:p>
            <w:pPr>
              <w:pStyle w:val="null3"/>
            </w:pPr>
            <w:r>
              <w:rPr>
                <w:rFonts w:ascii="仿宋_GB2312" w:hAnsi="仿宋_GB2312" w:cs="仿宋_GB2312" w:eastAsia="仿宋_GB2312"/>
              </w:rPr>
              <w:t>3、现状建筑审查。对和规划设计方案相关的周边现状建筑的建筑性质、建筑楼位、建筑层数、建筑高度等进行数据准确性审查。</w:t>
            </w:r>
          </w:p>
          <w:p>
            <w:pPr>
              <w:pStyle w:val="null3"/>
            </w:pPr>
            <w:r>
              <w:rPr>
                <w:rFonts w:ascii="仿宋_GB2312" w:hAnsi="仿宋_GB2312" w:cs="仿宋_GB2312" w:eastAsia="仿宋_GB2312"/>
                <w:sz w:val="21"/>
              </w:rPr>
              <w:t>4、总图审查：基于规划条件书，结合国家、陕西省、西安市等涉及相关规范标准，审核总图方案的各类指标，判断建筑面积、容积率、建筑密度、绿地率、限高、停车、配套、退线、间距、建筑风貌、建筑性质等各项技术经济指标的合规性；</w:t>
            </w:r>
          </w:p>
          <w:p>
            <w:pPr>
              <w:pStyle w:val="null3"/>
            </w:pPr>
            <w:r>
              <w:rPr>
                <w:rFonts w:ascii="仿宋_GB2312" w:hAnsi="仿宋_GB2312" w:cs="仿宋_GB2312" w:eastAsia="仿宋_GB2312"/>
                <w:sz w:val="21"/>
              </w:rPr>
              <w:t>5、建筑单体审查：对建筑单体平、立、剖套图进行审查，判断建筑性质、建筑基底、建筑面积等的合规性以及单体和总图的一致性；</w:t>
            </w:r>
          </w:p>
          <w:p>
            <w:pPr>
              <w:pStyle w:val="null3"/>
            </w:pPr>
            <w:r>
              <w:rPr>
                <w:rFonts w:ascii="仿宋_GB2312" w:hAnsi="仿宋_GB2312" w:cs="仿宋_GB2312" w:eastAsia="仿宋_GB2312"/>
                <w:sz w:val="21"/>
              </w:rPr>
              <w:t>6、日照分析报告审查</w:t>
            </w:r>
          </w:p>
          <w:p>
            <w:pPr>
              <w:pStyle w:val="null3"/>
            </w:pPr>
            <w:r>
              <w:rPr>
                <w:rFonts w:ascii="仿宋_GB2312" w:hAnsi="仿宋_GB2312" w:cs="仿宋_GB2312" w:eastAsia="仿宋_GB2312"/>
                <w:sz w:val="21"/>
              </w:rPr>
              <w:t>按照国家、地方行业技术标准、管理规定，在现场踏勘基础上，对日照分析报告进行技术审查，出具日照复核意见书。</w:t>
            </w:r>
          </w:p>
          <w:p>
            <w:pPr>
              <w:pStyle w:val="null3"/>
            </w:pPr>
            <w:r>
              <w:rPr>
                <w:rFonts w:ascii="仿宋_GB2312" w:hAnsi="仿宋_GB2312" w:cs="仿宋_GB2312" w:eastAsia="仿宋_GB2312"/>
              </w:rPr>
              <w:t>7、报告编制：根据审查报告要求，编制审查报告;</w:t>
            </w:r>
          </w:p>
          <w:p>
            <w:pPr>
              <w:pStyle w:val="null3"/>
            </w:pPr>
            <w:r>
              <w:rPr>
                <w:rFonts w:ascii="仿宋_GB2312" w:hAnsi="仿宋_GB2312" w:cs="仿宋_GB2312" w:eastAsia="仿宋_GB2312"/>
              </w:rPr>
              <w:t>8、问题沟通：针对审查过程中的不合规问题，汇总讨论事项及技术问题，与分局及报建单位进行沟通对接；</w:t>
            </w:r>
          </w:p>
          <w:p>
            <w:pPr>
              <w:pStyle w:val="null3"/>
            </w:pPr>
            <w:r>
              <w:rPr>
                <w:rFonts w:ascii="仿宋_GB2312" w:hAnsi="仿宋_GB2312" w:cs="仿宋_GB2312" w:eastAsia="仿宋_GB2312"/>
                <w:sz w:val="21"/>
              </w:rPr>
              <w:t>9、公示牌小样制作</w:t>
            </w:r>
          </w:p>
          <w:p>
            <w:pPr>
              <w:pStyle w:val="null3"/>
            </w:pPr>
            <w:r>
              <w:rPr>
                <w:rFonts w:ascii="仿宋_GB2312" w:hAnsi="仿宋_GB2312" w:cs="仿宋_GB2312" w:eastAsia="仿宋_GB2312"/>
                <w:sz w:val="21"/>
              </w:rPr>
              <w:t>工程证核发阶段，按指定格式制作批前、批后公示牌电子小样。</w:t>
            </w:r>
          </w:p>
          <w:p>
            <w:pPr>
              <w:pStyle w:val="null3"/>
            </w:pPr>
            <w:r>
              <w:rPr>
                <w:rFonts w:ascii="仿宋_GB2312" w:hAnsi="仿宋_GB2312" w:cs="仿宋_GB2312" w:eastAsia="仿宋_GB2312"/>
              </w:rPr>
              <w:t>三、技术要求</w:t>
            </w:r>
          </w:p>
          <w:p>
            <w:pPr>
              <w:pStyle w:val="null3"/>
            </w:pPr>
            <w:r>
              <w:rPr>
                <w:rFonts w:ascii="仿宋_GB2312" w:hAnsi="仿宋_GB2312" w:cs="仿宋_GB2312" w:eastAsia="仿宋_GB2312"/>
              </w:rPr>
              <w:t>严格依据国家相关行业标准和规范；陕西省、西安市相关技术规定和政策性文件；项目规划条件书及出让合同等进行审查。</w:t>
            </w:r>
          </w:p>
          <w:p>
            <w:pPr>
              <w:pStyle w:val="null3"/>
            </w:pPr>
            <w:r>
              <w:rPr>
                <w:rFonts w:ascii="仿宋_GB2312" w:hAnsi="仿宋_GB2312" w:cs="仿宋_GB2312" w:eastAsia="仿宋_GB2312"/>
              </w:rPr>
              <w:t>四、服务要求</w:t>
            </w:r>
          </w:p>
          <w:p>
            <w:pPr>
              <w:pStyle w:val="null3"/>
            </w:pPr>
            <w:r>
              <w:rPr>
                <w:rFonts w:ascii="仿宋_GB2312" w:hAnsi="仿宋_GB2312" w:cs="仿宋_GB2312" w:eastAsia="仿宋_GB2312"/>
              </w:rPr>
              <w:t>1、规划管理范围内房建类新建、改建、扩建及其它需要开展技术审查的建筑工程项目，以及实施详细规划成果报审达到开展技术审查条件的，由经办人将技术审查资料转件至服务单位，进入技术审查程序。</w:t>
            </w:r>
          </w:p>
          <w:p>
            <w:pPr>
              <w:pStyle w:val="null3"/>
            </w:pPr>
            <w:r>
              <w:rPr>
                <w:rFonts w:ascii="仿宋_GB2312" w:hAnsi="仿宋_GB2312" w:cs="仿宋_GB2312" w:eastAsia="仿宋_GB2312"/>
              </w:rPr>
              <w:t>2、配置具有规划、建筑、地理信息、开发(系统、软件)专业背景技术团队，分别承担用地合规性审查、总图审查(规划专业)、建筑单体审查(建筑学专业)、数据质检(地理信息专业数据处理工程师)、软件(系统)服务(软件工程、计算机专业 ) 。</w:t>
            </w:r>
          </w:p>
          <w:p>
            <w:pPr>
              <w:pStyle w:val="null3"/>
            </w:pPr>
            <w:r>
              <w:rPr>
                <w:rFonts w:ascii="仿宋_GB2312" w:hAnsi="仿宋_GB2312" w:cs="仿宋_GB2312" w:eastAsia="仿宋_GB2312"/>
              </w:rPr>
              <w:t>3、服务单位需提供相关系统、软件咨询服务。</w:t>
            </w:r>
          </w:p>
          <w:p>
            <w:pPr>
              <w:pStyle w:val="null3"/>
            </w:pPr>
            <w:r>
              <w:rPr>
                <w:rFonts w:ascii="仿宋_GB2312" w:hAnsi="仿宋_GB2312" w:cs="仿宋_GB2312" w:eastAsia="仿宋_GB2312"/>
              </w:rPr>
              <w:t>4、服务单位需根据资源规划局的要求增加、修改相关系统、软件功能。</w:t>
            </w:r>
          </w:p>
          <w:p>
            <w:pPr>
              <w:pStyle w:val="null3"/>
            </w:pPr>
            <w:r>
              <w:rPr>
                <w:rFonts w:ascii="仿宋_GB2312" w:hAnsi="仿宋_GB2312" w:cs="仿宋_GB2312" w:eastAsia="仿宋_GB2312"/>
              </w:rPr>
              <w:t>5、服务单位需具有软件开发及本地化服务能力。</w:t>
            </w:r>
          </w:p>
          <w:p>
            <w:pPr>
              <w:pStyle w:val="null3"/>
            </w:pPr>
            <w:r>
              <w:rPr>
                <w:rFonts w:ascii="仿宋_GB2312" w:hAnsi="仿宋_GB2312" w:cs="仿宋_GB2312" w:eastAsia="仿宋_GB2312"/>
              </w:rPr>
              <w:t>6、智能审查要求。采用智能机审辅以人工审查的方式开展技术审查工作。</w:t>
            </w:r>
          </w:p>
          <w:p>
            <w:pPr>
              <w:pStyle w:val="null3"/>
            </w:pPr>
            <w:r>
              <w:rPr>
                <w:rFonts w:ascii="仿宋_GB2312" w:hAnsi="仿宋_GB2312" w:cs="仿宋_GB2312" w:eastAsia="仿宋_GB2312"/>
              </w:rPr>
              <w:t>7、全程网办要求。在“西安市建设工程设计方案技术审查系统”平台上开展全过程建设工程设计方案技术审查工作，包括资料受理、审查资料流转、审查成果出具，满足不见面、无纸化审查工作要求。</w:t>
            </w:r>
          </w:p>
          <w:p>
            <w:pPr>
              <w:pStyle w:val="null3"/>
            </w:pPr>
            <w:r>
              <w:rPr>
                <w:rFonts w:ascii="仿宋_GB2312" w:hAnsi="仿宋_GB2312" w:cs="仿宋_GB2312" w:eastAsia="仿宋_GB2312"/>
              </w:rPr>
              <w:t>8、成果加密要求。按指定格式，对审查完成的建设工程设计方案（包括总图、单体图）进行加密签章。</w:t>
            </w:r>
          </w:p>
          <w:p>
            <w:pPr>
              <w:pStyle w:val="null3"/>
            </w:pPr>
            <w:r>
              <w:rPr>
                <w:rFonts w:ascii="仿宋_GB2312" w:hAnsi="仿宋_GB2312" w:cs="仿宋_GB2312" w:eastAsia="仿宋_GB2312"/>
              </w:rPr>
              <w:t>五、其他要求</w:t>
            </w:r>
          </w:p>
          <w:p>
            <w:pPr>
              <w:pStyle w:val="null3"/>
            </w:pPr>
            <w:r>
              <w:rPr>
                <w:rFonts w:ascii="仿宋_GB2312" w:hAnsi="仿宋_GB2312" w:cs="仿宋_GB2312" w:eastAsia="仿宋_GB2312"/>
              </w:rPr>
              <w:t>（一）进度要求</w:t>
            </w:r>
          </w:p>
          <w:p>
            <w:pPr>
              <w:pStyle w:val="null3"/>
            </w:pPr>
            <w:r>
              <w:rPr>
                <w:rFonts w:ascii="仿宋_GB2312" w:hAnsi="仿宋_GB2312" w:cs="仿宋_GB2312" w:eastAsia="仿宋_GB2312"/>
              </w:rPr>
              <w:t>实施详细规划成果技术审查时限为一个地块乙方技术审查用时三个工作日（补充资料、修改图纸时间不计入），建设工程规划设计方案技术审查、日照分析审查时限为三个工作日（补充资料、修改图纸时间不计入）。为如遇项目情况较为复杂或其他特殊情况，经双方协商一致后，乙方可适当增加审查用时。</w:t>
            </w:r>
          </w:p>
          <w:p>
            <w:pPr>
              <w:pStyle w:val="null3"/>
            </w:pPr>
            <w:r>
              <w:rPr>
                <w:rFonts w:ascii="仿宋_GB2312" w:hAnsi="仿宋_GB2312" w:cs="仿宋_GB2312" w:eastAsia="仿宋_GB2312"/>
              </w:rPr>
              <w:t>（二）成果交付要求</w:t>
            </w:r>
          </w:p>
          <w:p>
            <w:pPr>
              <w:pStyle w:val="null3"/>
            </w:pPr>
            <w:r>
              <w:rPr>
                <w:rFonts w:ascii="仿宋_GB2312" w:hAnsi="仿宋_GB2312" w:cs="仿宋_GB2312" w:eastAsia="仿宋_GB2312"/>
              </w:rPr>
              <w:t>实施详细规划成果技术审查成果为《地块实施详细规划成果技术审查报告》，建设工程规划设计方案技术审查成果为《建设工程规划设计方案技术审查意见书》，日照分析审查成果为《规划设计方案日照分析报告复核意见书》，规划建设用地合规性审查成果为《建设项目规划合规性技术审查表》，规划公示牌小样制作成果为公示牌电子小样。</w:t>
            </w:r>
          </w:p>
          <w:p>
            <w:pPr>
              <w:pStyle w:val="null3"/>
            </w:pPr>
            <w:r>
              <w:rPr>
                <w:rFonts w:ascii="仿宋_GB2312" w:hAnsi="仿宋_GB2312" w:cs="仿宋_GB2312" w:eastAsia="仿宋_GB2312"/>
              </w:rPr>
              <w:t>（三）质量验收标准或规范</w:t>
            </w:r>
          </w:p>
          <w:p>
            <w:pPr>
              <w:pStyle w:val="null3"/>
            </w:pPr>
            <w:r>
              <w:rPr>
                <w:rFonts w:ascii="仿宋_GB2312" w:hAnsi="仿宋_GB2312" w:cs="仿宋_GB2312" w:eastAsia="仿宋_GB2312"/>
                <w:sz w:val="21"/>
              </w:rPr>
              <w:t>国家相关行业标准和规范；陕西省、西安市相关技术规定和政策性文件；项目规划条件书及出让合同。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合同签订后每半年按照实际发生的业务情况据实结算，实际结算金额=项目单价*项目数量，据实结算最终金额不能超出采购预算，提交最终成果后付款，乙方须向甲方出具合法有效的发票后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成交供应商需线下提交与系统电子响应文件一致的纸质响应文件三份。若系统电子响应文件与纸质投标文件不一致的，以系统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供应商需在项目电子化交易系统中按要求填写《投标函》完成承诺并进行电子签章及供应商资格证明文件。</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需要落实的政府采购政策.docx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w:t>
            </w:r>
          </w:p>
        </w:tc>
        <w:tc>
          <w:tcPr>
            <w:tcW w:type="dxa" w:w="3322"/>
          </w:tcPr>
          <w:p>
            <w:pPr>
              <w:pStyle w:val="null3"/>
            </w:pPr>
            <w:r>
              <w:rPr>
                <w:rFonts w:ascii="仿宋_GB2312" w:hAnsi="仿宋_GB2312" w:cs="仿宋_GB2312" w:eastAsia="仿宋_GB2312"/>
              </w:rPr>
              <w:t>供应商须具有城乡规划（国土空间规划）编制乙级（或以上）资质（或自然资源主管部门核发城乡规划编制乙级（或以上）资质）。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供应商应授权合法的人员参加磋商，其中法定代表人直接参加的，须出具法定代表人证明书；被授权代表参加的，须出具法定代表人授权书及被授权人本单位证明 (近三个月内任意一个月社保缴纳证明)</w:t>
            </w:r>
          </w:p>
        </w:tc>
        <w:tc>
          <w:tcPr>
            <w:tcW w:type="dxa" w:w="1661"/>
          </w:tcPr>
          <w:p>
            <w:pPr>
              <w:pStyle w:val="null3"/>
            </w:pPr>
            <w:r>
              <w:rPr>
                <w:rFonts w:ascii="仿宋_GB2312" w:hAnsi="仿宋_GB2312" w:cs="仿宋_GB2312" w:eastAsia="仿宋_GB2312"/>
              </w:rPr>
              <w:t>授权委托书.docx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单价报价</w:t>
            </w:r>
          </w:p>
        </w:tc>
        <w:tc>
          <w:tcPr>
            <w:tcW w:type="dxa" w:w="3322"/>
          </w:tcPr>
          <w:p>
            <w:pPr>
              <w:pStyle w:val="null3"/>
            </w:pPr>
            <w:r>
              <w:rPr>
                <w:rFonts w:ascii="仿宋_GB2312" w:hAnsi="仿宋_GB2312" w:cs="仿宋_GB2312" w:eastAsia="仿宋_GB2312"/>
              </w:rPr>
              <w:t>单价报价不得超出单价预算。</w:t>
            </w:r>
          </w:p>
        </w:tc>
        <w:tc>
          <w:tcPr>
            <w:tcW w:type="dxa" w:w="1661"/>
          </w:tcPr>
          <w:p>
            <w:pPr>
              <w:pStyle w:val="null3"/>
            </w:pPr>
            <w:r>
              <w:rPr>
                <w:rFonts w:ascii="仿宋_GB2312" w:hAnsi="仿宋_GB2312" w:cs="仿宋_GB2312" w:eastAsia="仿宋_GB2312"/>
              </w:rPr>
              <w:t>单价报价表.docx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本项目的解读清晰、明确，航空区规划或政策分析研究情况的理解深度和准确性高，并对航空区国土空间规划、各类专项规划等现行空间规划状况，航空区实施详细规划成果技术审查流程和内容、建筑方案设计及审查流程和内容进行分析和评估，得出航空区建筑工程设计方案技术审查、实施详细规划成果技术审查核心要素；对本项目背景的解读清晰准确，航空区规划或政策分析研究情况的理解全面，非常准确性得5分；对本项目背景的解读基本清晰，航空区规划或政策分析研究情况的理解有一定基础相对准确得3分；对本项目背景的解读不够清晰、明确，航空区规划或政策分析研究情况的理解缺乏深度和准确性的得 1 分；未提供或理解偏差过大得 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总体技术方案</w:t>
            </w:r>
          </w:p>
        </w:tc>
        <w:tc>
          <w:tcPr>
            <w:tcW w:type="dxa" w:w="2492"/>
          </w:tcPr>
          <w:p>
            <w:pPr>
              <w:pStyle w:val="null3"/>
            </w:pPr>
            <w:r>
              <w:rPr>
                <w:rFonts w:ascii="仿宋_GB2312" w:hAnsi="仿宋_GB2312" w:cs="仿宋_GB2312" w:eastAsia="仿宋_GB2312"/>
              </w:rPr>
              <w:t>对制定的总体工作方案进行评分：①全部响应采购要求与技术要求，方案详细、科学合理、健全的审查流程、有完整且可行的智能化信息化服务的得8分；②响应采购要求与技术要求，方案详细、科学合理、审查流程合理、有可行的智能化信息化服务的得6分；③响应采购要求与技术要求，比较齐全、合理可行得4分；④基本响应采购要求与技术要求得2分；⑤合理性一般，可行性一般的得1分；未提供或方案偏差过大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项目关键性技术、重点难点的解决方案</w:t>
            </w:r>
          </w:p>
        </w:tc>
        <w:tc>
          <w:tcPr>
            <w:tcW w:type="dxa" w:w="2492"/>
          </w:tcPr>
          <w:p>
            <w:pPr>
              <w:pStyle w:val="null3"/>
            </w:pPr>
            <w:r>
              <w:rPr>
                <w:rFonts w:ascii="仿宋_GB2312" w:hAnsi="仿宋_GB2312" w:cs="仿宋_GB2312" w:eastAsia="仿宋_GB2312"/>
              </w:rPr>
              <w:t>根据供应商对本项目的关键性技术、重点难点的解决方案（包括但不限于1.对规划报建技术审查及实施详细规划成果技术审查实施重、难点的认识、理解及分析；2.针对规划报建技术审查及实施详细规划成果技术审查实施重、难点拟定的解决方案；3.智能化审查服务技术突破方案）的合理程度进行综合评审；①针对本项目关键技术、重点、难点的解决方案科学合理、全面、具体、可行性强得5分；②针对本项目关键技术、重点、难点的解决方案科学合理、全面、具体得4分；③针对本项目关键技术、重点、难点的解决方案全面但不具体、可行性一般得3分；④针对本项目关键技术、重点、难点的解决方案全面但不具体、可行性较差得2分；⑤ 针对本项目关键技术、重点、难点的解决方案不完善、可行性较差得1分。 未提供或方案偏差过大得0分。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质量和进度保障方案</w:t>
            </w:r>
          </w:p>
        </w:tc>
        <w:tc>
          <w:tcPr>
            <w:tcW w:type="dxa" w:w="2492"/>
          </w:tcPr>
          <w:p>
            <w:pPr>
              <w:pStyle w:val="null3"/>
            </w:pPr>
            <w:r>
              <w:rPr>
                <w:rFonts w:ascii="仿宋_GB2312" w:hAnsi="仿宋_GB2312" w:cs="仿宋_GB2312" w:eastAsia="仿宋_GB2312"/>
              </w:rPr>
              <w:t>供应商具有完整质量控制和进度保障体系，各个节点服务工作质量具有完善的保证措施。①保障措施全面、合理、科学的得8分；②保障措施满足采购需求得6分；③保障措施基本满足采购需求得4分；④保障措施不合理、可行性欠缺得2分；⑤未提供方案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现状数据基础</w:t>
            </w:r>
          </w:p>
        </w:tc>
        <w:tc>
          <w:tcPr>
            <w:tcW w:type="dxa" w:w="2492"/>
          </w:tcPr>
          <w:p>
            <w:pPr>
              <w:pStyle w:val="null3"/>
            </w:pPr>
            <w:r>
              <w:rPr>
                <w:rFonts w:ascii="仿宋_GB2312" w:hAnsi="仿宋_GB2312" w:cs="仿宋_GB2312" w:eastAsia="仿宋_GB2312"/>
              </w:rPr>
              <w:t>供应商现状空间数据工作基础（包括不限于影像、建筑、公服等）。（1）影像数据年限连续性在10年以上、数据精度均连续三年为亚米级的，得3分；影像数据年限连续性在5年以上10年以下、数据精度包含亚米级的，得2分；影像数据年限连续性未提供或不足5年，数据精度无法体现或不包含亚米级的得1分，其他情况不得分；（2）建筑空间数据涵盖住宅、商业、办公、工业等建筑类型，数据精度至楼栋且具有建筑高度、建筑基底面积、建筑年代、建筑层数等详细信息的得2分，其他情况不得分；（3）公服设施空间数据涵盖教育、医疗、养老等设施类型，且具有设施四至、学校学位数、医院床位数等详细信息的得2分，其他情况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智能化审查实施方案</w:t>
            </w:r>
          </w:p>
        </w:tc>
        <w:tc>
          <w:tcPr>
            <w:tcW w:type="dxa" w:w="2492"/>
          </w:tcPr>
          <w:p>
            <w:pPr>
              <w:pStyle w:val="null3"/>
            </w:pPr>
            <w:r>
              <w:rPr>
                <w:rFonts w:ascii="仿宋_GB2312" w:hAnsi="仿宋_GB2312" w:cs="仿宋_GB2312" w:eastAsia="仿宋_GB2312"/>
              </w:rPr>
              <w:t>考核供应商智能化服务能力①具有完善的智能化审查方案，方案详实具体、针对性、可操作性强的得10分；②方案基本完善、合理性一般的得6分；③方案不完整、可行性差的得2分；④其他情况不得分。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针对本项目的合理化建议及服务承诺</w:t>
            </w:r>
          </w:p>
        </w:tc>
        <w:tc>
          <w:tcPr>
            <w:tcW w:type="dxa" w:w="2492"/>
          </w:tcPr>
          <w:p>
            <w:pPr>
              <w:pStyle w:val="null3"/>
            </w:pPr>
            <w:r>
              <w:rPr>
                <w:rFonts w:ascii="仿宋_GB2312" w:hAnsi="仿宋_GB2312" w:cs="仿宋_GB2312" w:eastAsia="仿宋_GB2312"/>
              </w:rPr>
              <w:t>针对本项目的合理化建议详实具体、具有针对性、可操作性强。①合理化建议详实、具体、具有针对性、可操作性强的得5分；②合理化建议响应程度一般得3分；③合理化建议缺乏针对性及可操作性得1分； ④未提供合理化建议得0分。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规划专业副高级职称且同时具备注册城乡（城市）规划师的得6分；具有中级职称且同时具备注册城乡（城市）规划师的得3分；仅具有中级或以上职称或注册城乡（城市）规划师其中一项的得1分；其余不得分，本项最多得6分。（提供的人员须在本单位工作，以提供的近1个月社保证明为准，否则此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数据专项负责人</w:t>
            </w:r>
          </w:p>
        </w:tc>
        <w:tc>
          <w:tcPr>
            <w:tcW w:type="dxa" w:w="2492"/>
          </w:tcPr>
          <w:p>
            <w:pPr>
              <w:pStyle w:val="null3"/>
            </w:pPr>
            <w:r>
              <w:rPr>
                <w:rFonts w:ascii="仿宋_GB2312" w:hAnsi="仿宋_GB2312" w:cs="仿宋_GB2312" w:eastAsia="仿宋_GB2312"/>
              </w:rPr>
              <w:t>数据负责人为地理信息专业（包括地理信息、测绘）副高级工程师得3分，中级工程师得1.5分，未提供不得分；数据负责人具备注册测绘师职业资格得2分，未提供不得分。（提供的人员须在本单位工作，以提供的近1个月社保证明为准，否则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项目组整体人员配备</w:t>
            </w:r>
          </w:p>
        </w:tc>
        <w:tc>
          <w:tcPr>
            <w:tcW w:type="dxa" w:w="2492"/>
          </w:tcPr>
          <w:p>
            <w:pPr>
              <w:pStyle w:val="null3"/>
            </w:pPr>
            <w:r>
              <w:rPr>
                <w:rFonts w:ascii="仿宋_GB2312" w:hAnsi="仿宋_GB2312" w:cs="仿宋_GB2312" w:eastAsia="仿宋_GB2312"/>
              </w:rPr>
              <w:t>供应商拟投入项目团队人员（不含项目总负责人，数据负责人）知识构架全面，专业性强，满足项目需求，分工明确、配置合理，科学合理，总体实力较强，有丰富的类似工作经验。项目组成员具有城市规划、建筑学、测绘等专业对应国家注册执业资格的，每提供项目组成员的一个国家注册职业资格的得1分，最高得7分。 项目组成员专业（以毕业证为准）涵盖城市规划、人文地理、土地资源管理、地图学与地理信息系统、建筑学、风景园林、软件工程、计算机科学与技术等相关专业，每涵盖上述一个专业得1分，最高得7分； （提供的人员须在本单位工作，以提供的近1个月社保证明为准，否则此项不得分）。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供应商具有自然资源或国土空间等相关领域计算机软件著作权登记证书，每提供1个得1分，最高得7分；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提供2023年1月1日至今承担过规划技术审查或建筑工程设计方案技术审查 (非咨询) 类相关业绩。 （以加盖供应商公章的合同复印件为准，应至少包含合同关键页，合同上必须明确体现签订时间），每提供1项有效业绩得1.0分，最高得10分。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磋商基准价：最后有效报价最低价作为磋商基准价。 最后报价得分=(磋商基准价／磋商报价)×10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详见附件：需要落实的政府采购政策.docx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详见附件：单价报价表.docx</w:t>
      </w:r>
    </w:p>
    <w:p>
      <w:pPr>
        <w:pStyle w:val="null3"/>
        <w:ind w:firstLine="960"/>
      </w:pPr>
      <w:r>
        <w:rPr>
          <w:rFonts w:ascii="仿宋_GB2312" w:hAnsi="仿宋_GB2312" w:cs="仿宋_GB2312" w:eastAsia="仿宋_GB2312"/>
        </w:rPr>
        <w:t>详见附件：授权委托书.docx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