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C50A8">
      <w:pPr>
        <w:pStyle w:val="2"/>
        <w:adjustRightInd w:val="0"/>
        <w:spacing w:line="360" w:lineRule="auto"/>
        <w:textAlignment w:val="baseline"/>
        <w:rPr>
          <w:rFonts w:hint="eastAsia" w:ascii="方正仿宋_GB2312" w:hAnsi="方正仿宋_GB2312" w:eastAsia="方正仿宋_GB2312" w:cs="方正仿宋_GB2312"/>
          <w:bCs/>
          <w:color w:val="auto"/>
          <w:highlight w:val="none"/>
        </w:rPr>
      </w:pPr>
      <w:bookmarkStart w:id="0" w:name="_Toc233435984"/>
      <w:bookmarkStart w:id="1" w:name="_Toc21184"/>
      <w:bookmarkStart w:id="2" w:name="_Toc128557264"/>
      <w:r>
        <w:rPr>
          <w:rFonts w:hint="eastAsia" w:ascii="方正仿宋_GB2312" w:hAnsi="方正仿宋_GB2312" w:eastAsia="方正仿宋_GB2312" w:cs="方正仿宋_GB2312"/>
          <w:bCs/>
          <w:color w:val="auto"/>
          <w:highlight w:val="none"/>
          <w:lang w:eastAsia="zh-CN"/>
        </w:rPr>
        <w:t>单价报价表</w:t>
      </w:r>
      <w:bookmarkEnd w:id="0"/>
      <w:bookmarkEnd w:id="1"/>
      <w:bookmarkEnd w:id="2"/>
    </w:p>
    <w:p w14:paraId="082EA8D8">
      <w:pPr>
        <w:spacing w:line="360" w:lineRule="auto"/>
        <w:rPr>
          <w:rFonts w:hint="eastAsia" w:ascii="方正仿宋_GB2312" w:hAnsi="方正仿宋_GB2312" w:eastAsia="方正仿宋_GB2312" w:cs="方正仿宋_GB2312"/>
          <w:b/>
          <w:color w:val="auto"/>
          <w:highlight w:val="none"/>
          <w:lang w:val="en-US" w:eastAsia="zh-CN"/>
        </w:rPr>
      </w:pPr>
    </w:p>
    <w:tbl>
      <w:tblPr>
        <w:tblStyle w:val="3"/>
        <w:tblW w:w="911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9"/>
        <w:gridCol w:w="6012"/>
      </w:tblGrid>
      <w:tr w14:paraId="5D92279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099" w:type="dxa"/>
            <w:noWrap w:val="0"/>
            <w:vAlign w:val="center"/>
          </w:tcPr>
          <w:p w14:paraId="4D5E43E0"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供应商</w:t>
            </w:r>
          </w:p>
        </w:tc>
        <w:tc>
          <w:tcPr>
            <w:tcW w:w="6012" w:type="dxa"/>
            <w:noWrap w:val="0"/>
            <w:vAlign w:val="center"/>
          </w:tcPr>
          <w:p w14:paraId="4D49CF48"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</w:p>
        </w:tc>
      </w:tr>
      <w:tr w14:paraId="50824E8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099" w:type="dxa"/>
            <w:noWrap w:val="0"/>
            <w:vAlign w:val="center"/>
          </w:tcPr>
          <w:p w14:paraId="373BBD3A"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实施详细规划审查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eastAsia="zh-CN"/>
              </w:rPr>
              <w:t>单价</w:t>
            </w: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人民币元/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lang w:eastAsia="zh-CN"/>
              </w:rPr>
              <w:t>个</w:t>
            </w: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）</w:t>
            </w:r>
          </w:p>
        </w:tc>
        <w:tc>
          <w:tcPr>
            <w:tcW w:w="6012" w:type="dxa"/>
            <w:noWrap w:val="0"/>
            <w:vAlign w:val="center"/>
          </w:tcPr>
          <w:p w14:paraId="4FCEF4EC">
            <w:pPr>
              <w:spacing w:line="360" w:lineRule="auto"/>
              <w:jc w:val="left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大写：人民币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  <w:p w14:paraId="75071F10">
            <w:pPr>
              <w:spacing w:line="360" w:lineRule="auto"/>
              <w:jc w:val="left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小写：¥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</w:tc>
      </w:tr>
      <w:tr w14:paraId="000CDD4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3099" w:type="dxa"/>
            <w:noWrap w:val="0"/>
            <w:vAlign w:val="center"/>
          </w:tcPr>
          <w:p w14:paraId="06E955DB">
            <w:pPr>
              <w:spacing w:line="360" w:lineRule="auto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工程证核发环节的技术咨询单价（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人民币元/平方米</w:t>
            </w:r>
            <w:r>
              <w:rPr>
                <w:rFonts w:hint="eastAsia" w:ascii="方正仿宋_GB2312" w:hAnsi="方正仿宋_GB2312" w:eastAsia="方正仿宋_GB2312" w:cs="方正仿宋_GB2312"/>
                <w:iCs/>
                <w:color w:val="auto"/>
                <w:sz w:val="24"/>
                <w:szCs w:val="32"/>
                <w:highlight w:val="none"/>
                <w:lang w:val="en-US" w:eastAsia="zh-CN"/>
              </w:rPr>
              <w:t>）</w:t>
            </w:r>
          </w:p>
        </w:tc>
        <w:tc>
          <w:tcPr>
            <w:tcW w:w="6012" w:type="dxa"/>
            <w:noWrap w:val="0"/>
            <w:vAlign w:val="center"/>
          </w:tcPr>
          <w:p w14:paraId="74AD77E6">
            <w:pPr>
              <w:spacing w:line="360" w:lineRule="auto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大写：人民币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  <w:p w14:paraId="4B720224">
            <w:pPr>
              <w:spacing w:line="360" w:lineRule="auto"/>
              <w:ind w:left="480" w:hanging="480" w:hangingChars="200"/>
              <w:jc w:val="left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</w:rPr>
              <w:t>小写：¥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highlight w:val="none"/>
                <w:u w:val="single"/>
              </w:rPr>
              <w:t xml:space="preserve">               </w:t>
            </w:r>
          </w:p>
        </w:tc>
      </w:tr>
    </w:tbl>
    <w:p w14:paraId="0ED5AC16">
      <w:pPr>
        <w:widowControl/>
        <w:spacing w:line="360" w:lineRule="auto"/>
        <w:ind w:left="0" w:leftChars="0" w:firstLine="0" w:firstLineChars="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24"/>
          <w:highlight w:val="none"/>
        </w:rPr>
        <w:t>备注：</w:t>
      </w:r>
    </w:p>
    <w:p w14:paraId="117137B8">
      <w:pPr>
        <w:widowControl/>
        <w:numPr>
          <w:ilvl w:val="0"/>
          <w:numId w:val="1"/>
        </w:numPr>
        <w:spacing w:line="360" w:lineRule="auto"/>
        <w:ind w:left="-270" w:firstLine="48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报价精确到小数点后两位；</w:t>
      </w:r>
    </w:p>
    <w:p w14:paraId="1FFB374F">
      <w:pPr>
        <w:widowControl/>
        <w:numPr>
          <w:ilvl w:val="0"/>
          <w:numId w:val="1"/>
        </w:numPr>
        <w:spacing w:line="360" w:lineRule="auto"/>
        <w:ind w:left="-270" w:firstLine="48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</w:rPr>
        <w:t>大小写数字如不一致，以大写价格为准，大写明显错误，以小写数字为准;</w:t>
      </w:r>
    </w:p>
    <w:p w14:paraId="766807BE">
      <w:pPr>
        <w:widowControl/>
        <w:numPr>
          <w:ilvl w:val="0"/>
          <w:numId w:val="1"/>
        </w:numPr>
        <w:spacing w:line="360" w:lineRule="auto"/>
        <w:ind w:left="-270" w:firstLine="48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单价和投标报价均不能超过预算价，否则按照废标处理。</w:t>
      </w:r>
    </w:p>
    <w:p w14:paraId="7A3B186D">
      <w:pPr>
        <w:widowControl/>
        <w:numPr>
          <w:ilvl w:val="0"/>
          <w:numId w:val="1"/>
        </w:numPr>
        <w:ind w:left="-270" w:leftChars="0" w:firstLine="480" w:firstLineChars="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</w:rPr>
        <w:t>实施详细规划审查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highlight w:val="none"/>
          <w:lang w:eastAsia="zh-CN"/>
        </w:rPr>
        <w:t>单价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预算16000元/个；工程证核发环节的技术咨询单价预算0.37元/平方米。</w:t>
      </w:r>
    </w:p>
    <w:p w14:paraId="33AD04F4">
      <w:pPr>
        <w:widowControl/>
        <w:numPr>
          <w:ilvl w:val="0"/>
          <w:numId w:val="1"/>
        </w:numPr>
        <w:ind w:left="-270" w:leftChars="0" w:firstLine="480" w:firstLineChars="0"/>
        <w:rPr>
          <w:rFonts w:hint="default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</w:pPr>
      <w:r>
        <w:rPr>
          <w:rFonts w:hint="default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实施详细规划技术审查约50个</w:t>
      </w: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；工程证核发阶段设计方案建筑面积</w:t>
      </w:r>
      <w:r>
        <w:rPr>
          <w:rFonts w:hint="default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约280万平方米；</w:t>
      </w:r>
    </w:p>
    <w:p w14:paraId="7A7CA517">
      <w:pPr>
        <w:widowControl/>
        <w:numPr>
          <w:ilvl w:val="0"/>
          <w:numId w:val="1"/>
        </w:numPr>
        <w:ind w:left="-270" w:leftChars="0" w:firstLine="480" w:firstLineChars="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投标报价作为价格评审得分依据，单价作为结算依据，单价和总报价均不能超出预算。</w:t>
      </w:r>
    </w:p>
    <w:p w14:paraId="141EAAAA">
      <w:pPr>
        <w:widowControl/>
        <w:numPr>
          <w:ilvl w:val="0"/>
          <w:numId w:val="1"/>
        </w:numPr>
        <w:ind w:left="-270" w:leftChars="0" w:firstLine="480" w:firstLineChars="0"/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iCs/>
          <w:color w:val="auto"/>
          <w:sz w:val="24"/>
          <w:szCs w:val="32"/>
          <w:highlight w:val="none"/>
          <w:lang w:val="en-US" w:eastAsia="zh-CN"/>
        </w:rPr>
        <w:t>以上单价报价为首次报价，最终单价按照最终磋商总报价与首次磋商总报价的浮动比例计算，最终单价为结算单价。</w:t>
      </w:r>
      <w:bookmarkStart w:id="3" w:name="_GoBack"/>
      <w:bookmarkEnd w:id="3"/>
    </w:p>
    <w:p w14:paraId="1789417C">
      <w:pPr>
        <w:spacing w:line="360" w:lineRule="auto"/>
        <w:ind w:right="-161" w:firstLine="2640" w:firstLineChars="11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法定代表人或被授权代表签字或盖章：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             </w:t>
      </w:r>
    </w:p>
    <w:p w14:paraId="39B98AA5">
      <w:pPr>
        <w:spacing w:line="360" w:lineRule="auto"/>
        <w:ind w:right="-161" w:firstLine="2640" w:firstLineChars="1100"/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供应商名称（加盖公章）：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B5159CFB-659B-48D7-93DA-8777B949CCC1}"/>
  </w:font>
  <w:font w:name="WPSEMBED1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1DE3C3"/>
    <w:multiLevelType w:val="singleLevel"/>
    <w:tmpl w:val="411DE3C3"/>
    <w:lvl w:ilvl="0" w:tentative="0">
      <w:start w:val="1"/>
      <w:numFmt w:val="decimal"/>
      <w:suff w:val="nothing"/>
      <w:lvlText w:val="%1、"/>
      <w:lvlJc w:val="left"/>
      <w:pPr>
        <w:ind w:left="15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3MDZjZTE3MmUwMDJmOWViMzAyMjE5Mzc4MzMyODQifQ=="/>
  </w:docVars>
  <w:rsids>
    <w:rsidRoot w:val="00000000"/>
    <w:rsid w:val="038D3451"/>
    <w:rsid w:val="041F3D10"/>
    <w:rsid w:val="06EF0180"/>
    <w:rsid w:val="1692716A"/>
    <w:rsid w:val="1E4B568F"/>
    <w:rsid w:val="238E7B21"/>
    <w:rsid w:val="2F7673A8"/>
    <w:rsid w:val="305A467D"/>
    <w:rsid w:val="430F24C4"/>
    <w:rsid w:val="4F702CB0"/>
    <w:rsid w:val="540B322A"/>
    <w:rsid w:val="602F731A"/>
    <w:rsid w:val="76B912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337</Words>
  <Characters>347</Characters>
  <Lines>0</Lines>
  <Paragraphs>0</Paragraphs>
  <TotalTime>4</TotalTime>
  <ScaleCrop>false</ScaleCrop>
  <LinksUpToDate>false</LinksUpToDate>
  <CharactersWithSpaces>453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骆驼</cp:lastModifiedBy>
  <dcterms:modified xsi:type="dcterms:W3CDTF">2025-12-15T06:44:57Z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5B57A0EB8EFC4A5BAFA74F56ABEBE79C_13</vt:lpwstr>
  </property>
  <property fmtid="{D5CDD505-2E9C-101B-9397-08002B2CF9AE}" pid="4" name="KSOTemplateDocerSaveRecord">
    <vt:lpwstr>eyJoZGlkIjoiOGEwOTJiZWMyZWQyMWM5Zjc5ZWZlNTMyZDBlMGM4MDAiLCJ1c2VySWQiOiI2NDYwNTUwNzgifQ==</vt:lpwstr>
  </property>
</Properties>
</file>