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版本号：ZJXG202503720250611001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宇立地块高压迁改项目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ZJXG2025037</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宇立地块高压迁改项目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宇立地块高压迁改项目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本工程为宇立地块高压迁改项目，地址位于阎良区蓝天路与航天六路交汇处，迁改10kV139谭南线清河支高压线路及高压电缆，具体工作内容详见工程量清单及施工图。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采购包1（宇立地块高压迁改项目）：属于专门面向中小企业采购。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被授权人参加磋商的须出具本单位的社保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有建设行政主管部门核发的电力工程施工总承包三级（含三级）以上资质或输变电专业工程承包三级（含三级）以上资质；同时具备下列三项许可证：《承装电力设施许可证》、《承修电力设施许可证》、《承试电力设施许可证》，各证书须为四级（含四级）及以上资格，以及合法有效的安全生产许可证。供应商需在项目电子化交易系统中按要求上传相应证明文件并进行电子签章。</w:t>
      </w:r>
    </w:p>
    <w:p>
      <w:pPr>
        <w:pStyle w:val="null3"/>
      </w:pPr>
      <w:r>
        <w:rPr>
          <w:rFonts w:ascii="仿宋_GB2312" w:hAnsi="仿宋_GB2312" w:cs="仿宋_GB2312" w:eastAsia="仿宋_GB2312"/>
        </w:rPr>
        <w:t>9、项目经理：拟派项目经理具备合法有效的机电工程专业注册建造师二级（含二级）以上执业资格和安全生产考核合格证书（安全B证），在本单位注册且无在建工程。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p>
      <w:pPr>
        <w:pStyle w:val="null3"/>
      </w:pPr>
      <w:r>
        <w:rPr>
          <w:rFonts w:ascii="仿宋_GB2312" w:hAnsi="仿宋_GB2312" w:cs="仿宋_GB2312" w:eastAsia="仿宋_GB2312"/>
        </w:rPr>
        <w:t>11、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13、中小企业：本合同包为专门面向中小企业采购（提供中小企业声明函或监狱企业的证明文件或残疾人福利性单位声明函）。供应商需在项目电子化交易系统中按要求上传相应证明文件并进行电子签章。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029-86851930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康馨丹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采购包1：1,599,618.13元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联系人：康馨丹</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1,599,618.13</w:t>
      </w:r>
    </w:p>
    <w:p>
      <w:pPr>
        <w:pStyle w:val="null3"/>
      </w:pPr>
      <w:r>
        <w:rPr>
          <w:rFonts w:ascii="仿宋_GB2312" w:hAnsi="仿宋_GB2312" w:cs="仿宋_GB2312" w:eastAsia="仿宋_GB2312"/>
        </w:rPr>
        <w:t>采购包最高限价（元）: 1,599,618.13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高压迁改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1,599,618.13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标的名称：高压迁改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本工程为宇立地块高压迁改项目，地址位于阎良区蓝天路与航天六路交汇处，迁改</w:t>
            </w:r>
            <w:r>
              <w:rPr>
                <w:rFonts w:ascii="仿宋_GB2312" w:hAnsi="仿宋_GB2312" w:cs="仿宋_GB2312" w:eastAsia="仿宋_GB2312"/>
              </w:rPr>
              <w:t>10kV139谭南线清河支高压线路及高压电缆，具体</w:t>
            </w:r>
            <w:r>
              <w:rPr>
                <w:rFonts w:ascii="仿宋_GB2312" w:hAnsi="仿宋_GB2312" w:cs="仿宋_GB2312" w:eastAsia="仿宋_GB2312"/>
              </w:rPr>
              <w:t>工作内容</w:t>
            </w:r>
            <w:r>
              <w:rPr>
                <w:rFonts w:ascii="仿宋_GB2312" w:hAnsi="仿宋_GB2312" w:cs="仿宋_GB2312" w:eastAsia="仿宋_GB2312"/>
              </w:rPr>
              <w:t>详见工程量清单及施工图</w:t>
            </w:r>
            <w:r>
              <w:rPr>
                <w:rFonts w:ascii="仿宋_GB2312" w:hAnsi="仿宋_GB2312" w:cs="仿宋_GB2312" w:eastAsia="仿宋_GB2312"/>
              </w:rPr>
              <w:t>。</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w:t>
            </w:r>
            <w:r>
              <w:rPr>
                <w:rFonts w:ascii="仿宋_GB2312" w:hAnsi="仿宋_GB2312" w:cs="仿宋_GB2312" w:eastAsia="仿宋_GB2312"/>
              </w:rPr>
              <w:t>施工范围：</w:t>
            </w:r>
            <w:r>
              <w:rPr>
                <w:rFonts w:ascii="仿宋_GB2312" w:hAnsi="仿宋_GB2312" w:cs="仿宋_GB2312" w:eastAsia="仿宋_GB2312"/>
              </w:rPr>
              <w:t>依据宇立地块高压迁改项目设计图编制工程量清单，编制范围包括图纸中所有内容，详见图纸</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工程地点：</w:t>
            </w:r>
            <w:r>
              <w:rPr>
                <w:rFonts w:ascii="仿宋_GB2312" w:hAnsi="仿宋_GB2312" w:cs="仿宋_GB2312" w:eastAsia="仿宋_GB2312"/>
              </w:rPr>
              <w:t>陕西省阎良区</w:t>
            </w:r>
          </w:p>
          <w:p>
            <w:pPr>
              <w:pStyle w:val="null3"/>
            </w:pPr>
            <w:r>
              <w:rPr>
                <w:rFonts w:ascii="仿宋_GB2312" w:hAnsi="仿宋_GB2312" w:cs="仿宋_GB2312" w:eastAsia="仿宋_GB2312"/>
              </w:rPr>
              <w:t>3.</w:t>
            </w:r>
            <w:r>
              <w:rPr>
                <w:rFonts w:ascii="仿宋_GB2312" w:hAnsi="仿宋_GB2312" w:cs="仿宋_GB2312" w:eastAsia="仿宋_GB2312"/>
              </w:rPr>
              <w:t>工期：自合同签订之日起</w:t>
            </w:r>
            <w:r>
              <w:rPr>
                <w:rFonts w:ascii="仿宋_GB2312" w:hAnsi="仿宋_GB2312" w:cs="仿宋_GB2312" w:eastAsia="仿宋_GB2312"/>
              </w:rPr>
              <w:t>20</w:t>
            </w:r>
            <w:r>
              <w:rPr>
                <w:rFonts w:ascii="仿宋_GB2312" w:hAnsi="仿宋_GB2312" w:cs="仿宋_GB2312" w:eastAsia="仿宋_GB2312"/>
              </w:rPr>
              <w:t>日历日。</w:t>
            </w:r>
          </w:p>
          <w:p>
            <w:pPr>
              <w:pStyle w:val="null3"/>
            </w:pPr>
            <w:r>
              <w:rPr>
                <w:rFonts w:ascii="仿宋_GB2312" w:hAnsi="仿宋_GB2312" w:cs="仿宋_GB2312" w:eastAsia="仿宋_GB2312"/>
              </w:rPr>
              <w:t>三、工程量清单编制说明</w:t>
            </w:r>
          </w:p>
          <w:p>
            <w:pPr>
              <w:pStyle w:val="null3"/>
            </w:pPr>
            <w:r>
              <w:rPr>
                <w:rFonts w:ascii="仿宋_GB2312" w:hAnsi="仿宋_GB2312" w:cs="仿宋_GB2312" w:eastAsia="仿宋_GB2312"/>
              </w:rPr>
              <w:t>（一）编制依据：</w:t>
            </w:r>
          </w:p>
          <w:p>
            <w:pPr>
              <w:pStyle w:val="null3"/>
            </w:pPr>
            <w:r>
              <w:rPr>
                <w:rFonts w:ascii="仿宋_GB2312" w:hAnsi="仿宋_GB2312" w:cs="仿宋_GB2312" w:eastAsia="仿宋_GB2312"/>
              </w:rPr>
              <w:t>1.河南省启源电力勘测设计有限公司设计的《宇立地块高压迁改项目》设计图纸、与建设工程项目有关的标准、规范、图集等资料；</w:t>
            </w:r>
          </w:p>
          <w:p>
            <w:pPr>
              <w:pStyle w:val="null3"/>
            </w:pPr>
            <w:r>
              <w:rPr>
                <w:rFonts w:ascii="仿宋_GB2312" w:hAnsi="仿宋_GB2312" w:cs="仿宋_GB2312" w:eastAsia="仿宋_GB2312"/>
              </w:rPr>
              <w:t>2.《陕西省建设工程工程量清单计价规则》（2009）、《陕西省建设工程工程量清单计价费率》（2009）及其配套文件中工程量计算办法；</w:t>
            </w:r>
          </w:p>
          <w:p>
            <w:pPr>
              <w:pStyle w:val="null3"/>
            </w:pPr>
            <w:r>
              <w:rPr>
                <w:rFonts w:ascii="仿宋_GB2312" w:hAnsi="仿宋_GB2312" w:cs="仿宋_GB2312" w:eastAsia="仿宋_GB2312"/>
              </w:rPr>
              <w:t>3.《陕西省建筑、装饰工程消耗量定额》（2004）及其勘误表（2009），《陕西省安装工程消耗量定额》（2004）及其勘误表（2009），《陕西省建设工程消耗量定额补充定额》（2004）、《陕西省市政园林绿化工程消耗量定额》（2004年）及其勘误表（2009）；</w:t>
            </w:r>
          </w:p>
          <w:p>
            <w:pPr>
              <w:pStyle w:val="null3"/>
            </w:pPr>
            <w:r>
              <w:rPr>
                <w:rFonts w:ascii="仿宋_GB2312" w:hAnsi="仿宋_GB2312" w:cs="仿宋_GB2312" w:eastAsia="仿宋_GB2312"/>
              </w:rPr>
              <w:t>4.《陕西省建筑装饰工程价目表》（2009）、《陕西省安装工程价目表》（2009）、《陕西省市政工程价目表》（2009）、《陕西省园林绿化工程价目表》（2009）、《陕西省建设工程施工机械台班价目表》（2009）、《陕西省建设工程消耗量定额勘误及补充定额》（2009）及其他相关文件；</w:t>
            </w:r>
          </w:p>
          <w:p>
            <w:pPr>
              <w:pStyle w:val="null3"/>
            </w:pPr>
            <w:r>
              <w:rPr>
                <w:rFonts w:ascii="仿宋_GB2312" w:hAnsi="仿宋_GB2312" w:cs="仿宋_GB2312" w:eastAsia="仿宋_GB2312"/>
              </w:rPr>
              <w:t>5.陕建发[2016]100号文：《关于建筑业营改增建设工程计价依据调整的通知》；</w:t>
            </w:r>
          </w:p>
          <w:p>
            <w:pPr>
              <w:pStyle w:val="null3"/>
            </w:pPr>
            <w:r>
              <w:rPr>
                <w:rFonts w:ascii="仿宋_GB2312" w:hAnsi="仿宋_GB2312" w:cs="仿宋_GB2312" w:eastAsia="仿宋_GB2312"/>
              </w:rPr>
              <w:t>6.陕建发[2017]270号文：《关于增加建设工程扬尘治理专项措施费及综合人工单价调整的通知》；</w:t>
            </w:r>
          </w:p>
          <w:p>
            <w:pPr>
              <w:pStyle w:val="null3"/>
            </w:pPr>
            <w:r>
              <w:rPr>
                <w:rFonts w:ascii="仿宋_GB2312" w:hAnsi="仿宋_GB2312" w:cs="仿宋_GB2312" w:eastAsia="仿宋_GB2312"/>
              </w:rPr>
              <w:t>7.税金及计价依据执行陕建发[2019]45号文：《陕西省住房和城乡建设厅关于调整我省建设工程计价依据的通知》（2019年4月1日起执行）；</w:t>
            </w:r>
          </w:p>
          <w:p>
            <w:pPr>
              <w:pStyle w:val="null3"/>
            </w:pPr>
            <w:r>
              <w:rPr>
                <w:rFonts w:ascii="仿宋_GB2312" w:hAnsi="仿宋_GB2312" w:cs="仿宋_GB2312" w:eastAsia="仿宋_GB2312"/>
              </w:rPr>
              <w:t>8.安全文明施工措施费调整执行陕建发〔2019〕1246号文：《陕西省住房和城乡建设厅关于发布我省落实建筑工人实名制管理计价依据的通知》（2019年12月1日起执行）；</w:t>
            </w:r>
          </w:p>
          <w:p>
            <w:pPr>
              <w:pStyle w:val="null3"/>
            </w:pPr>
            <w:r>
              <w:rPr>
                <w:rFonts w:ascii="仿宋_GB2312" w:hAnsi="仿宋_GB2312" w:cs="仿宋_GB2312" w:eastAsia="仿宋_GB2312"/>
              </w:rPr>
              <w:t>9.建筑安装生产责任保险执行[2020]1097号文：《关于建筑施工安全生产责任保险费用计价的通知》（2020年9月11日起执行）；</w:t>
            </w:r>
          </w:p>
          <w:p>
            <w:pPr>
              <w:pStyle w:val="null3"/>
            </w:pPr>
            <w:r>
              <w:rPr>
                <w:rFonts w:ascii="仿宋_GB2312" w:hAnsi="仿宋_GB2312" w:cs="仿宋_GB2312" w:eastAsia="仿宋_GB2312"/>
              </w:rPr>
              <w:t>10.人工费调整执行陕建发[2021]1097号文：《陕西省住房和城乡建设厅关于调整房屋建筑和市政基础设施工程工程量清单计价综合人工单价的通知》（2021年10月1日起执行）；</w:t>
            </w:r>
          </w:p>
          <w:p>
            <w:pPr>
              <w:pStyle w:val="null3"/>
            </w:pPr>
            <w:r>
              <w:rPr>
                <w:rFonts w:ascii="仿宋_GB2312" w:hAnsi="仿宋_GB2312" w:cs="仿宋_GB2312" w:eastAsia="仿宋_GB2312"/>
              </w:rPr>
              <w:t>11.劳保费用执行陕建发[2021]1021号文：《陕西省住房和城乡建设厅关于全省统一停止收缴建筑业劳保费用的通知》（2021年3月15日起执行）；</w:t>
            </w:r>
          </w:p>
          <w:p>
            <w:pPr>
              <w:pStyle w:val="null3"/>
            </w:pPr>
            <w:r>
              <w:rPr>
                <w:rFonts w:ascii="仿宋_GB2312" w:hAnsi="仿宋_GB2312" w:cs="仿宋_GB2312" w:eastAsia="仿宋_GB2312"/>
              </w:rPr>
              <w:t>12.常规施工组织设计及相关施工图集规范；</w:t>
            </w:r>
          </w:p>
          <w:p>
            <w:pPr>
              <w:pStyle w:val="null3"/>
            </w:pPr>
            <w:r>
              <w:rPr>
                <w:rFonts w:ascii="仿宋_GB2312" w:hAnsi="仿宋_GB2312" w:cs="仿宋_GB2312" w:eastAsia="仿宋_GB2312"/>
              </w:rPr>
              <w:t>13.工程特点及常规施工方案；</w:t>
            </w:r>
          </w:p>
          <w:p>
            <w:pPr>
              <w:pStyle w:val="null3"/>
            </w:pPr>
            <w:r>
              <w:rPr>
                <w:rFonts w:ascii="仿宋_GB2312" w:hAnsi="仿宋_GB2312" w:cs="仿宋_GB2312" w:eastAsia="仿宋_GB2312"/>
              </w:rPr>
              <w:t>14.编制软件采用广联达云计价平台GCCP6.0版本：6.4100.23.122。</w:t>
            </w:r>
          </w:p>
          <w:p>
            <w:pPr>
              <w:pStyle w:val="null3"/>
            </w:pPr>
            <w:r>
              <w:rPr>
                <w:rFonts w:ascii="仿宋_GB2312" w:hAnsi="仿宋_GB2312" w:cs="仿宋_GB2312" w:eastAsia="仿宋_GB2312"/>
              </w:rPr>
              <w:t>（二）有关说明：</w:t>
            </w:r>
          </w:p>
          <w:p>
            <w:pPr>
              <w:pStyle w:val="null3"/>
            </w:pPr>
            <w:r>
              <w:rPr>
                <w:rFonts w:ascii="仿宋_GB2312" w:hAnsi="仿宋_GB2312" w:cs="仿宋_GB2312" w:eastAsia="仿宋_GB2312"/>
              </w:rPr>
              <w:t>1.本工程取费模板人工调整计入差价含养老统筹；</w:t>
            </w:r>
          </w:p>
          <w:p>
            <w:pPr>
              <w:pStyle w:val="null3"/>
            </w:pPr>
            <w:r>
              <w:rPr>
                <w:rFonts w:ascii="仿宋_GB2312" w:hAnsi="仿宋_GB2312" w:cs="仿宋_GB2312" w:eastAsia="仿宋_GB2312"/>
              </w:rPr>
              <w:t>2.本项目无暂列金。</w:t>
            </w:r>
          </w:p>
          <w:p>
            <w:pPr>
              <w:pStyle w:val="null3"/>
            </w:pPr>
            <w:r>
              <w:rPr>
                <w:rFonts w:ascii="仿宋_GB2312" w:hAnsi="仿宋_GB2312" w:cs="仿宋_GB2312" w:eastAsia="仿宋_GB2312"/>
              </w:rPr>
              <w:t>（三）工程量清单：电子版另附。</w:t>
            </w:r>
          </w:p>
          <w:p>
            <w:pPr>
              <w:pStyle w:val="null3"/>
            </w:pPr>
            <w:r>
              <w:rPr>
                <w:rFonts w:ascii="仿宋_GB2312" w:hAnsi="仿宋_GB2312" w:cs="仿宋_GB2312" w:eastAsia="仿宋_GB2312"/>
              </w:rPr>
              <w:t>（四）图纸：电子版另附。</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w:t>
            </w:r>
            <w:r>
              <w:rPr>
                <w:rFonts w:ascii="仿宋_GB2312" w:hAnsi="仿宋_GB2312" w:cs="仿宋_GB2312" w:eastAsia="仿宋_GB2312"/>
              </w:rPr>
              <w:t>、成交供应商必须配备足够的人员和充足的机械设备进入实施，确保按时保质保量完成任务。</w:t>
            </w:r>
          </w:p>
          <w:p>
            <w:pPr>
              <w:pStyle w:val="null3"/>
            </w:pPr>
            <w:r>
              <w:rPr>
                <w:rFonts w:ascii="仿宋_GB2312" w:hAnsi="仿宋_GB2312" w:cs="仿宋_GB2312" w:eastAsia="仿宋_GB2312"/>
              </w:rPr>
              <w:t>2</w:t>
            </w:r>
            <w:r>
              <w:rPr>
                <w:rFonts w:ascii="仿宋_GB2312" w:hAnsi="仿宋_GB2312" w:cs="仿宋_GB2312" w:eastAsia="仿宋_GB2312"/>
              </w:rPr>
              <w:t>、必须严密组织，文明施工，作好四周维护及安全环保措施，所需费用由成交供应商承担，施工过程必须严格遵守政府相关规定。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w:t>
            </w:r>
            <w:r>
              <w:rPr>
                <w:rFonts w:ascii="仿宋_GB2312" w:hAnsi="仿宋_GB2312" w:cs="仿宋_GB2312" w:eastAsia="仿宋_GB2312"/>
              </w:rPr>
              <w:t>、严格遵守西安市关于控制扬尘污染、治污减霾的相关规定，并承担一切安全事故或违规处罚所带来的经济及法律责任。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w:t>
            </w:r>
            <w:r>
              <w:rPr>
                <w:rFonts w:ascii="仿宋_GB2312" w:hAnsi="仿宋_GB2312" w:cs="仿宋_GB2312" w:eastAsia="仿宋_GB2312"/>
              </w:rPr>
              <w:t>、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w:t>
            </w:r>
            <w:r>
              <w:rPr>
                <w:rFonts w:ascii="仿宋_GB2312" w:hAnsi="仿宋_GB2312" w:cs="仿宋_GB2312" w:eastAsia="仿宋_GB2312"/>
              </w:rPr>
              <w:t>、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w:t>
            </w:r>
            <w:r>
              <w:rPr>
                <w:rFonts w:ascii="仿宋_GB2312" w:hAnsi="仿宋_GB2312" w:cs="仿宋_GB2312" w:eastAsia="仿宋_GB2312"/>
              </w:rPr>
              <w:t>、承包方负责现场安全管理工作，并承担全部责任及由此产生的全部费用，现场人员由承包方按照相关规定办理相关保险事宜。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w:t>
            </w:r>
            <w:r>
              <w:rPr>
                <w:rFonts w:ascii="仿宋_GB2312" w:hAnsi="仿宋_GB2312" w:cs="仿宋_GB2312" w:eastAsia="仿宋_GB2312"/>
              </w:rPr>
              <w:t>预付款支付条款：</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）本合同设置预付款：</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付款条件说明：合同签订后，达到付款条件起 30 日内，支付合同总金额的40.00%。</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付款条件说明：竣工并验收合格后，达到付款条件起 30日内，支付合同总金额的60.00%。</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其他：本项目预付款是根据政府采购相关政策规定要求，甲方为帮助乙方解决项目前期启动资金困难，保证乙方更有条件履行合同的保障性支援性资金。乙方应保证该资金用于项目前期各项工作费用，不得挪作他用，若因此项目进展受到影响，乙方承担由此引起的所有责任。</w:t>
            </w:r>
          </w:p>
          <w:p>
            <w:pPr>
              <w:pStyle w:val="null3"/>
            </w:pPr>
            <w:r>
              <w:rPr>
                <w:rFonts w:ascii="仿宋_GB2312" w:hAnsi="仿宋_GB2312" w:cs="仿宋_GB2312" w:eastAsia="仿宋_GB2312"/>
              </w:rPr>
              <w:t>2.</w:t>
            </w:r>
            <w:r>
              <w:rPr>
                <w:rFonts w:ascii="仿宋_GB2312" w:hAnsi="仿宋_GB2312" w:cs="仿宋_GB2312" w:eastAsia="仿宋_GB2312"/>
              </w:rPr>
              <w:t>剩余款项支付条款：</w:t>
            </w:r>
          </w:p>
          <w:p>
            <w:pPr>
              <w:pStyle w:val="null3"/>
            </w:pPr>
            <w:r>
              <w:rPr>
                <w:rFonts w:ascii="仿宋_GB2312" w:hAnsi="仿宋_GB2312" w:cs="仿宋_GB2312" w:eastAsia="仿宋_GB2312"/>
              </w:rPr>
              <w:t>竣工并验收合格后支付至合同总价款的</w:t>
            </w:r>
            <w:r>
              <w:rPr>
                <w:rFonts w:ascii="仿宋_GB2312" w:hAnsi="仿宋_GB2312" w:cs="仿宋_GB2312" w:eastAsia="仿宋_GB2312"/>
              </w:rPr>
              <w:t>100%</w:t>
            </w:r>
            <w:r>
              <w:rPr>
                <w:rFonts w:ascii="仿宋_GB2312" w:hAnsi="仿宋_GB2312" w:cs="仿宋_GB2312" w:eastAsia="仿宋_GB2312"/>
              </w:rPr>
              <w:t>。</w:t>
            </w:r>
          </w:p>
          <w:p>
            <w:pPr>
              <w:pStyle w:val="null3"/>
            </w:pPr>
            <w:r>
              <w:rPr>
                <w:rFonts w:ascii="仿宋_GB2312" w:hAnsi="仿宋_GB2312" w:cs="仿宋_GB2312" w:eastAsia="仿宋_GB2312"/>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pPr>
              <w:pStyle w:val="null3"/>
            </w:pPr>
            <w:r>
              <w:rPr>
                <w:rFonts w:ascii="仿宋_GB2312" w:hAnsi="仿宋_GB2312" w:cs="仿宋_GB2312" w:eastAsia="仿宋_GB2312"/>
              </w:rPr>
              <w:t>3</w:t>
            </w:r>
            <w:r>
              <w:rPr>
                <w:rFonts w:ascii="仿宋_GB2312" w:hAnsi="仿宋_GB2312" w:cs="仿宋_GB2312" w:eastAsia="仿宋_GB2312"/>
              </w:rPr>
              <w:t>、质量要求：</w:t>
            </w:r>
          </w:p>
          <w:p>
            <w:pPr>
              <w:pStyle w:val="null3"/>
            </w:pPr>
            <w:r>
              <w:rPr>
                <w:rFonts w:ascii="仿宋_GB2312" w:hAnsi="仿宋_GB2312" w:cs="仿宋_GB2312" w:eastAsia="仿宋_GB2312"/>
              </w:rPr>
              <w:t>达到国家现行有关施工质量验收规范</w:t>
            </w:r>
            <w:r>
              <w:rPr>
                <w:rFonts w:ascii="仿宋_GB2312" w:hAnsi="仿宋_GB2312" w:cs="仿宋_GB2312" w:eastAsia="仿宋_GB2312"/>
              </w:rPr>
              <w:t>“合格”标准</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、质量保修期：</w:t>
            </w:r>
          </w:p>
          <w:p>
            <w:pPr>
              <w:pStyle w:val="null3"/>
              <w:jc w:val="both"/>
            </w:pPr>
            <w:r>
              <w:rPr>
                <w:rFonts w:ascii="仿宋_GB2312" w:hAnsi="仿宋_GB2312" w:cs="仿宋_GB2312" w:eastAsia="仿宋_GB2312"/>
                <w:sz w:val="21"/>
              </w:rPr>
              <w:t>自工程竣工验收合格之日起</w:t>
            </w:r>
            <w:r>
              <w:rPr>
                <w:rFonts w:ascii="仿宋_GB2312" w:hAnsi="仿宋_GB2312" w:cs="仿宋_GB2312" w:eastAsia="仿宋_GB2312"/>
                <w:sz w:val="21"/>
              </w:rPr>
              <w:t>1年</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生产法》《建设工程安全生产管理条例》《西安市扬尘污染防治条例》《西安市房屋拆迁管理办法》《西安市建筑垃圾管理办法》执行的法律法规、技术规范包括但不限于以上规定、规范、标准；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1、项目范围内全部采用湿法作业、现场无扬尘。2、按城市管理部门要求安装联网监控和空气检测装置等，确保设备正常使用。3、施工单位负责协调村内及周边关系。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签订后支付合同总价款的40%作为预付款，竣工并验收合格后支付至合同总价款的100%。2、付款依据：合同、竞争性磋商文件、竞争性磋商响应文件、工程量确认单、采购人出具的验收报告、供应商提供的发票及付款申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被授权人参加磋商的须出具本单位的社保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核发的电力工程施工总承包三级（含三级）以上资质或输变电专业工程承包三级（含三级）以上资质；同时具备下列三项许可证：《承装电力设施许可证》、《承修电力设施许可证》、《承试电力设施许可证》，各证书须为四级（含四级）及以上资格，以及合法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合法有效的机电工程专业注册建造师二级（含二级）以上执业资格和安全生产考核合格证书（安全B证），在本单位注册且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内容合理、方案具体可行、完全符合要求得7.1-10.0分；内容较合理、方案可行性一般，基本符合要求得4.1-7.0分；内容不完备、方案可行性差、不能全面符合要求得1.0-4.0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施工进度表或施工网络图）及各阶段进度保证措施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人员配备合理、科学可行、完全符合要求得3.1-5.0分；人员配备较合理、可行性一般，基本符合要求得2.1-3.0分；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供应商针对本项目提供详细的劳动力和材料投入计划及其保证措施。措施完备，详细、可操作性强计3.1-5.0分；措施基本合理、较详细、可操作性一般得2.1-3.0分；措施欠缺或内容不完备得1.0-2.0分；未提供不计分。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计划完备，详细、可行性强计3.1-5.0分；计划较合理、较详细、基本可行得2.1-3.0分；计划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现场扬尘管理措施合理、有详尽的扬尘控制措施并可达到国家控制的标准得3.1-5.0分；现场扬尘管理措施较为合理得2.1-3.0分；现场扬尘管理措施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方案合理、详尽、满足项目需要得3.1-5.0分；方案较为合理得2.1-3.0分，方案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供应商自2022年1月1日以来承担过类似项目业绩。（以合同签订日期或中标通知书签署日期为准)；每提供一项业绩得 2 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方案完善、科学合理，针对性强、服务承诺明确，计3.1-5.0分；方案较完善、合理可行、特点和承诺一般，计2.1-3.0分；方案不完备或不完全符合项目要求计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竞争性磋商文件实质性要求且最后报价最低的供应商的价格为磋商基准价，其价格分为满分30分。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详见附件：施工技术方案.docx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