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09BFA">
      <w:pPr>
        <w:pStyle w:val="5"/>
        <w:widowControl/>
        <w:adjustRightInd w:val="0"/>
        <w:snapToGrid w:val="0"/>
        <w:spacing w:line="360" w:lineRule="auto"/>
        <w:jc w:val="center"/>
        <w:rPr>
          <w:rFonts w:hint="eastAsia" w:hAnsi="宋体" w:cs="宋体"/>
          <w:b/>
          <w:bCs w:val="0"/>
          <w:color w:val="auto"/>
          <w:kern w:val="2"/>
          <w:sz w:val="44"/>
          <w:szCs w:val="44"/>
          <w:highlight w:val="none"/>
          <w:lang w:val="en-US" w:eastAsia="zh-CN"/>
        </w:rPr>
      </w:pPr>
    </w:p>
    <w:p w14:paraId="59F71EC4">
      <w:pPr>
        <w:pStyle w:val="5"/>
        <w:widowControl/>
        <w:adjustRightInd w:val="0"/>
        <w:snapToGrid w:val="0"/>
        <w:spacing w:line="360" w:lineRule="auto"/>
        <w:jc w:val="center"/>
        <w:rPr>
          <w:rFonts w:hint="eastAsia" w:hAnsi="宋体" w:cs="宋体"/>
          <w:b/>
          <w:bCs w:val="0"/>
          <w:color w:val="auto"/>
          <w:kern w:val="2"/>
          <w:sz w:val="44"/>
          <w:szCs w:val="44"/>
          <w:highlight w:val="none"/>
          <w:lang w:val="en-US" w:eastAsia="zh-CN"/>
        </w:rPr>
      </w:pPr>
    </w:p>
    <w:p w14:paraId="572DCA2C">
      <w:pPr>
        <w:pStyle w:val="5"/>
        <w:widowControl/>
        <w:adjustRightInd w:val="0"/>
        <w:snapToGrid w:val="0"/>
        <w:spacing w:line="360" w:lineRule="auto"/>
        <w:jc w:val="center"/>
        <w:rPr>
          <w:rFonts w:hint="eastAsia" w:hAnsi="宋体" w:cs="宋体"/>
          <w:b/>
          <w:bCs w:val="0"/>
          <w:color w:val="auto"/>
          <w:kern w:val="2"/>
          <w:sz w:val="44"/>
          <w:szCs w:val="44"/>
          <w:highlight w:val="none"/>
          <w:lang w:val="en-US" w:eastAsia="zh-CN"/>
        </w:rPr>
      </w:pPr>
    </w:p>
    <w:p w14:paraId="3950FB87">
      <w:pPr>
        <w:pStyle w:val="5"/>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宇立地块高压迁改项目</w:t>
      </w:r>
      <w:r>
        <w:rPr>
          <w:rFonts w:hint="eastAsia" w:hAnsi="宋体" w:cs="宋体"/>
          <w:b/>
          <w:bCs w:val="0"/>
          <w:color w:val="auto"/>
          <w:kern w:val="2"/>
          <w:sz w:val="44"/>
          <w:szCs w:val="44"/>
          <w:highlight w:val="none"/>
          <w:lang w:val="en-US" w:eastAsia="zh-Hans"/>
        </w:rPr>
        <w:t>施工合同</w:t>
      </w:r>
    </w:p>
    <w:p w14:paraId="5B71CF0C">
      <w:pPr>
        <w:pStyle w:val="3"/>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3"/>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3EC5DED">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FFC1BAF">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7FED14">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44B2280">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r>
        <w:rPr>
          <w:rFonts w:hint="eastAsia" w:ascii="宋体" w:hAnsi="宋体" w:eastAsia="宋体" w:cs="宋体"/>
          <w:b/>
          <w:bCs/>
          <w:color w:val="auto"/>
          <w:kern w:val="2"/>
          <w:sz w:val="28"/>
          <w:szCs w:val="28"/>
          <w:highlight w:val="none"/>
          <w:lang w:val="en-US" w:eastAsia="zh-CN"/>
        </w:rPr>
        <w:t>西安阎良国家航空高技术产业基地管理委员会</w:t>
      </w:r>
    </w:p>
    <w:p w14:paraId="2224E37D">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3"/>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B62E546">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64DFC60B">
      <w:pPr>
        <w:pStyle w:val="3"/>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3"/>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3"/>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4A6A8217">
      <w:pPr>
        <w:pStyle w:val="5"/>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宇立地块高压迁改项目</w:t>
      </w:r>
      <w:r>
        <w:rPr>
          <w:rFonts w:hint="eastAsia" w:hAnsi="宋体" w:cs="宋体"/>
          <w:b/>
          <w:bCs w:val="0"/>
          <w:color w:val="auto"/>
          <w:kern w:val="2"/>
          <w:sz w:val="44"/>
          <w:szCs w:val="44"/>
          <w:highlight w:val="none"/>
          <w:lang w:val="en-US" w:eastAsia="zh-Hans"/>
        </w:rPr>
        <w:t>施工合同</w:t>
      </w:r>
    </w:p>
    <w:p w14:paraId="7FD7248F">
      <w:pPr>
        <w:keepNext w:val="0"/>
        <w:keepLines w:val="0"/>
        <w:pageBreakBefore w:val="0"/>
        <w:wordWrap/>
        <w:overflowPunct/>
        <w:topLinePunct w:val="0"/>
        <w:bidi w:val="0"/>
        <w:spacing w:line="500" w:lineRule="exact"/>
        <w:rPr>
          <w:rFonts w:hint="eastAsia"/>
          <w:color w:val="auto"/>
          <w:highlight w:val="none"/>
          <w:lang w:eastAsia="zh-CN"/>
        </w:rPr>
      </w:pPr>
    </w:p>
    <w:p w14:paraId="63278A98">
      <w:pPr>
        <w:pStyle w:val="4"/>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41C39371">
      <w:pPr>
        <w:pStyle w:val="4"/>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6C92023E">
      <w:pPr>
        <w:pStyle w:val="4"/>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6184BF73">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4F9047C2">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宇立地块高压迁改项目</w:t>
      </w:r>
    </w:p>
    <w:p w14:paraId="6A47D99E">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工程地点：陕西省阎良区</w:t>
      </w:r>
    </w:p>
    <w:p w14:paraId="69D1F6B0">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本工程为宇立地块高压迁改项目，地址位于阎良区蓝天路与航天六路交汇处，迁改10kV139谭南线清河支高压线路及高压电缆，具体工作内容详见工程量清单及施工图。</w:t>
      </w:r>
    </w:p>
    <w:p w14:paraId="698EA1B6">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27C65C07">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自合同签订生效之日起</w:t>
      </w:r>
      <w:r>
        <w:rPr>
          <w:rFonts w:hint="eastAsia" w:ascii="CESI仿宋-GB2312" w:hAnsi="CESI仿宋-GB2312" w:eastAsia="CESI仿宋-GB2312" w:cs="CESI仿宋-GB2312"/>
          <w:color w:val="auto"/>
          <w:sz w:val="28"/>
          <w:szCs w:val="28"/>
          <w:highlight w:val="none"/>
          <w:u w:val="single"/>
          <w:lang w:val="en-US" w:eastAsia="zh-CN"/>
        </w:rPr>
        <w:t xml:space="preserve"> </w:t>
      </w:r>
      <w:bookmarkStart w:id="0" w:name="_GoBack"/>
      <w:bookmarkEnd w:id="0"/>
      <w:r>
        <w:rPr>
          <w:rFonts w:hint="eastAsia" w:ascii="CESI仿宋-GB2312" w:hAnsi="CESI仿宋-GB2312" w:eastAsia="CESI仿宋-GB2312" w:cs="CESI仿宋-GB2312"/>
          <w:color w:val="auto"/>
          <w:sz w:val="28"/>
          <w:szCs w:val="28"/>
          <w:highlight w:val="none"/>
          <w:u w:val="single"/>
          <w:lang w:val="en-US" w:eastAsia="zh-CN"/>
        </w:rPr>
        <w:t xml:space="preserve">20 </w:t>
      </w:r>
      <w:r>
        <w:rPr>
          <w:rFonts w:hint="eastAsia" w:ascii="CESI仿宋-GB2312" w:hAnsi="CESI仿宋-GB2312" w:eastAsia="CESI仿宋-GB2312" w:cs="CESI仿宋-GB2312"/>
          <w:color w:val="auto"/>
          <w:sz w:val="28"/>
          <w:szCs w:val="28"/>
          <w:highlight w:val="none"/>
          <w:u w:val="single"/>
          <w:lang w:eastAsia="zh-CN"/>
        </w:rPr>
        <w:t>日历天</w:t>
      </w:r>
      <w:r>
        <w:rPr>
          <w:rFonts w:hint="eastAsia" w:ascii="CESI仿宋-GB2312" w:hAnsi="CESI仿宋-GB2312" w:eastAsia="CESI仿宋-GB2312" w:cs="CESI仿宋-GB2312"/>
          <w:color w:val="auto"/>
          <w:sz w:val="28"/>
          <w:szCs w:val="28"/>
          <w:highlight w:val="none"/>
          <w:lang w:val="zh-CN" w:eastAsia="zh-CN"/>
        </w:rPr>
        <w:t>。</w:t>
      </w:r>
    </w:p>
    <w:p w14:paraId="0BD689DF">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35DD534">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759FD537">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达到国家现行有关施工质量验收规范“合格”标准。</w:t>
      </w:r>
    </w:p>
    <w:p w14:paraId="3139F6F7">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56013BF6">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0D1A550C">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自工程竣工验收合格之日起1年</w:t>
      </w:r>
      <w:r>
        <w:rPr>
          <w:rFonts w:hint="eastAsia" w:ascii="CESI仿宋-GB2312" w:hAnsi="CESI仿宋-GB2312" w:eastAsia="CESI仿宋-GB2312" w:cs="CESI仿宋-GB2312"/>
          <w:color w:val="auto"/>
          <w:sz w:val="28"/>
          <w:szCs w:val="28"/>
          <w:highlight w:val="none"/>
          <w:lang w:val="en-US" w:eastAsia="zh-CN"/>
        </w:rPr>
        <w:t>。</w:t>
      </w:r>
    </w:p>
    <w:p w14:paraId="7FF31588">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0D5B880C">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4AB31EA0">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40FB651E">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451C20FD">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735A8034">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执行《陕西省安装工程消耗量定额》（2004）、《陕西省市政设施维修养护定额及其计价费率》（2012）、《陕西省建设工程工程量清单计价规则》（2009）及《陕西省建设工程工程量清单计价费率》（2009）；定额工日单价按照国家最新相关文件执行；安全及文明施工费用及不可竞争的费用、税费按规定计取计入；材料价以《陕西工程造价信息-材料信息价》的施工当期信息价及材料市场价等计价文件规定计价；如无信息价或信息价偏离市场价太高时以审计单位最终核定的市场价格为准。</w:t>
      </w:r>
    </w:p>
    <w:p w14:paraId="7CD7BF6F">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04256A8C">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74EE162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0B8284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工程款支付方式：合同签订后，土建施工完成且电缆到场后</w:t>
      </w:r>
      <w:r>
        <w:rPr>
          <w:rFonts w:hint="eastAsia" w:ascii="CESI仿宋-GB2312" w:hAnsi="CESI仿宋-GB2312" w:eastAsia="CESI仿宋-GB2312" w:cs="CESI仿宋-GB2312"/>
          <w:color w:val="auto"/>
          <w:sz w:val="28"/>
          <w:szCs w:val="28"/>
          <w:highlight w:val="none"/>
          <w:lang w:val="en-US" w:eastAsia="zh-CN"/>
        </w:rPr>
        <w:t>支付</w:t>
      </w:r>
      <w:r>
        <w:rPr>
          <w:rFonts w:hint="eastAsia" w:ascii="CESI仿宋-GB2312" w:hAnsi="CESI仿宋-GB2312" w:eastAsia="CESI仿宋-GB2312" w:cs="CESI仿宋-GB2312"/>
          <w:color w:val="auto"/>
          <w:sz w:val="28"/>
          <w:szCs w:val="28"/>
          <w:highlight w:val="none"/>
          <w:lang w:val="zh-CN" w:eastAsia="zh-CN"/>
        </w:rPr>
        <w:t>合同总价款的40%，完成竣工结算后支付至结算金额的</w:t>
      </w:r>
      <w:r>
        <w:rPr>
          <w:rFonts w:hint="eastAsia" w:ascii="CESI仿宋-GB2312" w:hAnsi="CESI仿宋-GB2312" w:eastAsia="CESI仿宋-GB2312" w:cs="CESI仿宋-GB2312"/>
          <w:color w:val="auto"/>
          <w:sz w:val="28"/>
          <w:szCs w:val="28"/>
          <w:highlight w:val="none"/>
          <w:lang w:val="en-US" w:eastAsia="zh-CN"/>
        </w:rPr>
        <w:t>97</w:t>
      </w:r>
      <w:r>
        <w:rPr>
          <w:rFonts w:hint="eastAsia" w:ascii="CESI仿宋-GB2312" w:hAnsi="CESI仿宋-GB2312" w:eastAsia="CESI仿宋-GB2312" w:cs="CESI仿宋-GB2312"/>
          <w:color w:val="auto"/>
          <w:sz w:val="28"/>
          <w:szCs w:val="28"/>
          <w:highlight w:val="none"/>
          <w:lang w:val="zh-CN" w:eastAsia="zh-CN"/>
        </w:rPr>
        <w:t>%</w:t>
      </w:r>
      <w:r>
        <w:rPr>
          <w:rFonts w:hint="eastAsia" w:ascii="CESI仿宋-GB2312" w:hAnsi="CESI仿宋-GB2312" w:eastAsia="CESI仿宋-GB2312" w:cs="CESI仿宋-GB2312"/>
          <w:color w:val="auto"/>
          <w:sz w:val="28"/>
          <w:szCs w:val="28"/>
          <w:highlight w:val="none"/>
          <w:lang w:eastAsia="zh-CN"/>
        </w:rPr>
        <w:t>。剩余</w:t>
      </w:r>
      <w:r>
        <w:rPr>
          <w:rFonts w:hint="eastAsia" w:ascii="CESI仿宋-GB2312" w:hAnsi="CESI仿宋-GB2312" w:eastAsia="CESI仿宋-GB2312" w:cs="CESI仿宋-GB2312"/>
          <w:color w:val="auto"/>
          <w:sz w:val="28"/>
          <w:szCs w:val="28"/>
          <w:highlight w:val="none"/>
          <w:lang w:val="en-US" w:eastAsia="zh-CN"/>
        </w:rPr>
        <w:t>3%质量保修金，1年期满后支付。</w:t>
      </w:r>
    </w:p>
    <w:p w14:paraId="4DD496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合同最终价款不得超过合同暂定金额，否则应签订补充合同。在合同履行过程中，乙方追加与合同标的物相同的货物、工程或者服务的，可以与甲方签订补充合同，补充合同金额不得超过原合同金额的10%。</w:t>
      </w:r>
      <w:r>
        <w:rPr>
          <w:rFonts w:hint="eastAsia" w:ascii="CESI仿宋-GB2312" w:hAnsi="CESI仿宋-GB2312" w:eastAsia="CESI仿宋-GB2312" w:cs="CESI仿宋-GB2312"/>
          <w:color w:val="auto"/>
          <w:spacing w:val="7"/>
          <w:sz w:val="28"/>
          <w:szCs w:val="28"/>
          <w:highlight w:val="none"/>
          <w:lang w:eastAsia="zh-CN"/>
        </w:rPr>
        <w:t>付款前，乙方按照甲方要求提供合法有效的普通发票（含税），甲方按照合同要求支付工程费用</w:t>
      </w:r>
      <w:r>
        <w:rPr>
          <w:rFonts w:hint="eastAsia" w:ascii="CESI仿宋-GB2312" w:hAnsi="CESI仿宋-GB2312" w:eastAsia="CESI仿宋-GB2312" w:cs="CESI仿宋-GB2312"/>
          <w:color w:val="auto"/>
          <w:spacing w:val="7"/>
          <w:sz w:val="28"/>
          <w:szCs w:val="28"/>
          <w:highlight w:val="none"/>
          <w:lang w:val="en-US" w:eastAsia="zh-CN"/>
        </w:rPr>
        <w:t>。</w:t>
      </w:r>
    </w:p>
    <w:p w14:paraId="37D3FC81">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eastAsia="zh-CN"/>
        </w:rPr>
        <w:t>合同价款类型：采用固定综合单价合同，综合单价中包括的风险范围：①招标同期陕西工程造价管理信息（材料信息价）中所列相应品种、规格材料的价格，与材料供应时当期陕西工程造价管理信息（材料信息价）中所列同种品种规格材料的价格对比，上涨与降低幅度在5%（含5%）以内；②人工、机械台班单价的变动（国家或造价主管部门有调价规定除外）；③发生的自然灾害、雨季施工的防雨措施费、停水、停电及停窝工在一周内累计小于8小时的费用。</w:t>
      </w:r>
    </w:p>
    <w:p w14:paraId="0EA1B1CD">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31260F28">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39B6986D">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0D6003A6">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00A70C5F">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27DB5F73">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1E683971">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289D015E">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5F81EF94">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01B018E4">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407A8EE5">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333FFB73">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B4DAF08">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737F4DB0">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127D844F">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6D0BCAFE">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770EE81C">
      <w:pPr>
        <w:pStyle w:val="4"/>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35F4BF8E">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62B3C6BB">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1.承包人应保证服务是全面和规范的，并完全符合法律法规及本合同约定。如承包人施工期问违反法律法规或本合同约定造成发包人或第三方经济损失的，均由承包人承担全部赔偿责任和相应的法律责任。</w:t>
      </w:r>
    </w:p>
    <w:p w14:paraId="11B847F1">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2.因承包人原因逾期完工的，自逾期之日起，每天按照合同暂定总价款0.5%向发包人支付违约金;逾期时间超过 15天以上的发包人有权解除本合同，承包人在解除通知限期内撤场后，双方按照验收合格部分据实结算价款，承包人应按照合同暂定总价款的10%向发包人支付违约金，违约金不能弥补发包人经济损失的，由承包人继续承担赔偿责任。</w:t>
      </w:r>
    </w:p>
    <w:p w14:paraId="4C7F7CC7">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3.承包人施工内容或工程质量经验收不合格的，发包人有权要求承包人限期整改，返工整改费用由承包人承担，且工期不予顺延，承包人应按照合同暂定总价款的 5%向发包人支付违约金;相同问题经整改二次验收仍不合格的，发包人有权解除本合同并拒付合同价款，承包人应按照合同暂定总价款的 10%向发包人支付违约金，违约金不足以弥补发包人经济损失的，由承包人继续承担赔偿责任。</w:t>
      </w:r>
    </w:p>
    <w:p w14:paraId="580FFF2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snapToGrid w:val="0"/>
          <w:color w:val="auto"/>
          <w:sz w:val="28"/>
          <w:szCs w:val="28"/>
          <w:highlight w:val="none"/>
          <w:lang w:val="en-US" w:eastAsia="zh-CN" w:bidi="ar-SA"/>
        </w:rPr>
      </w:pPr>
      <w:r>
        <w:rPr>
          <w:rFonts w:hint="eastAsia" w:ascii="CESI仿宋-GB2312" w:hAnsi="CESI仿宋-GB2312" w:eastAsia="CESI仿宋-GB2312" w:cs="CESI仿宋-GB2312"/>
          <w:color w:val="auto"/>
          <w:sz w:val="28"/>
          <w:szCs w:val="28"/>
          <w:highlight w:val="none"/>
          <w:lang w:val="en-US" w:eastAsia="zh-CN"/>
        </w:rPr>
        <w:t>4.承包人未经发包人书面同意，擅自将工程全部或部分转让给第三方，或承包人发生安全生产事故拒不承担民事赔偿责任造成不良社会影响的，发包人有权立即解除合同并拒付合同价款，承包人应按照合同暂定总价款的 10%向发包人支付违约金，违约金不能弥补发包人经济损失的，由承包人继续承担赔偿责任。</w:t>
      </w:r>
    </w:p>
    <w:p w14:paraId="5FCE6BFE">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5.承包人维修期间必须严格按照法律法规、技术标准及施工方案中的要求进行，如违反下列情形之一，应承担相应违约责任，具体内容如下:</w:t>
      </w:r>
    </w:p>
    <w:p w14:paraId="4D69238E">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(1)承包人作业人员未严格执行安全摸作规程、防火安全等规定，施工现场安全防护措施不到位，经发包人检查存在安全隐患，或承包人不执行发包人指令、不服从发包人管理监督的，按照 500元/次的标准承担违约金;</w:t>
      </w:r>
    </w:p>
    <w:p w14:paraId="2FD3647F">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(2)承包人作业人员无证上岗(适用于按规定必须持证上岗的特殊作业岗位)，或现场施工人员与承包人向发包人备案人员不一致的，按照 500 元/次的标准承担违约金。</w:t>
      </w:r>
    </w:p>
    <w:p w14:paraId="570581C5">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(3)承包人作业人员未正确穿戴安全防护用品，或承包人施工作业环境、操作设施设备、工具用具等不符合安全要求或未处于安全状态的，按照 500 元/次的标准承担违约金。</w:t>
      </w:r>
    </w:p>
    <w:p w14:paraId="253F876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6.承包人期履行或拒绝履行质保期内维修义务的，每次按照质保金的 2%承担违约金，发包人有权在质保金中直接扣除，不足部分由承包人负责继续清偿。</w:t>
      </w:r>
    </w:p>
    <w:p w14:paraId="1FE3D40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7.因任何一方的违约行为导致本合同解除的，违约方应赔偿给对方造成的全部经济损失，赔偿范围包括但不限于违约金赔偿金、诉讼费、鉴定费、审计费、评估费、执行费、保全费，律师费等全部损失。</w:t>
      </w:r>
    </w:p>
    <w:p w14:paraId="30B87CE7">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8.发包人有权在结算或付款时直接扣除承包人应承担违约金或赔偿金，不足部分仍由承包人承担支付义务。</w:t>
      </w:r>
    </w:p>
    <w:p w14:paraId="5E71A863">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18F069C">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3222C65">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5A518D14">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6A23D85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4ACE09C0">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1CD24BC8">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D89F98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674DFADD">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2DBBC03A">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14580C48">
      <w:pPr>
        <w:pStyle w:val="4"/>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1EFC7FBA">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04D0BCD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01D0C7EB">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60C8AA2A">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2E7BA5F2">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02EAA33A">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6F0730DC">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color w:val="auto"/>
          <w:highlight w:val="none"/>
        </w:rPr>
      </w:pPr>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p>
    <w:p w14:paraId="0FC14030">
      <w:pPr>
        <w:keepNext w:val="0"/>
        <w:keepLines w:val="0"/>
        <w:pageBreakBefore w:val="0"/>
        <w:widowControl/>
        <w:wordWrap/>
        <w:overflowPunct/>
        <w:topLinePunct w:val="0"/>
        <w:autoSpaceDE w:val="0"/>
        <w:autoSpaceDN w:val="0"/>
        <w:bidi w:val="0"/>
        <w:adjustRightInd w:val="0"/>
        <w:snapToGrid w:val="0"/>
        <w:spacing w:line="480" w:lineRule="auto"/>
        <w:rPr>
          <w:color w:val="auto"/>
          <w:highlight w:val="none"/>
        </w:rPr>
      </w:pPr>
    </w:p>
    <w:p w14:paraId="291D0791">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p>
    <w:p w14:paraId="7E49DE03">
      <w:pPr>
        <w:pStyle w:val="9"/>
        <w:rPr>
          <w:rFonts w:hint="eastAsia"/>
          <w:color w:val="auto"/>
          <w:highlight w:val="none"/>
          <w:lang w:val="en-US" w:eastAsia="zh-Hans"/>
        </w:rPr>
      </w:pPr>
    </w:p>
    <w:p w14:paraId="044E4D7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ESI仿宋-GB2312">
    <w:altName w:val="仿宋"/>
    <w:panose1 w:val="02000500000000000000"/>
    <w:charset w:val="86"/>
    <w:family w:val="auto"/>
    <w:pitch w:val="default"/>
    <w:sig w:usb0="00000000" w:usb1="00000000" w:usb2="00000010"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A8855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9"/>
    <w:pPr>
      <w:keepNext/>
      <w:keepLines/>
      <w:widowControl w:val="0"/>
      <w:kinsoku/>
      <w:autoSpaceDE/>
      <w:autoSpaceDN/>
      <w:adjustRightInd/>
      <w:snapToGrid/>
      <w:spacing w:before="260" w:after="260" w:line="416" w:lineRule="auto"/>
      <w:jc w:val="both"/>
      <w:textAlignment w:val="auto"/>
      <w:outlineLvl w:val="1"/>
    </w:pPr>
    <w:rPr>
      <w:rFonts w:asciiTheme="majorHAnsi" w:hAnsiTheme="majorHAnsi" w:eastAsiaTheme="majorEastAsia" w:cstheme="majorBidi"/>
      <w:b/>
      <w:bCs/>
      <w:snapToGrid/>
      <w:color w:val="auto"/>
      <w:sz w:val="32"/>
      <w:szCs w:val="32"/>
      <w:lang w:eastAsia="zh-CN"/>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3228</Words>
  <Characters>3361</Characters>
  <TotalTime>1</TotalTime>
  <ScaleCrop>false</ScaleCrop>
  <LinksUpToDate>false</LinksUpToDate>
  <CharactersWithSpaces>3683</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2025-06-11T14:27:00Z</dcterms:created>
  <dc:creator>Administrator</dc:creator>
  <cp:lastModifiedBy>Dreamer</cp:lastModifiedBy>
  <dcterms:modified xsi:type="dcterms:W3CDTF">2025-06-11T06:34:03Z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2025-06-11T14:27:08Z</vt:filetime>
  </property>
  <property fmtid="{D5CDD505-2E9C-101B-9397-08002B2CF9AE}" pid="4" name="UsrData">
    <vt:lpwstr>684921bad536be001ffdd495wl</vt:lpwstr>
  </property>
  <property fmtid="{D5CDD505-2E9C-101B-9397-08002B2CF9AE}" pid="5" name="KSOTemplateDocerSaveRecord">
    <vt:lpwstr>eyJoZGlkIjoiODI5NDY3OTM1YWYyYzg1NDE3ZTEyY2I1MWNiZDUyZjIiLCJ1c2VySWQiOiI5Nzg4MjgwMDkifQ==</vt:lpwstr>
  </property>
  <property fmtid="{D5CDD505-2E9C-101B-9397-08002B2CF9AE}" pid="6" name="KSOProductBuildVer">
    <vt:lpwstr>2052-12.1.0.21171</vt:lpwstr>
  </property>
  <property fmtid="{D5CDD505-2E9C-101B-9397-08002B2CF9AE}" pid="7" name="ICV">
    <vt:lpwstr>2EE8FB06FE12439D8BD3EDD0EC3D4DC0_12</vt:lpwstr>
  </property>
</Properties>
</file>