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版本号：YMD-2025004ZS-220250624001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航空基地公共停车场停车位特许经营项目(二次)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YMD-2025004ZS-2</w:t>
      </w:r>
      <w:r>
        <w:br/>
      </w:r>
      <w:r>
        <w:br/>
      </w:r>
      <w:r>
        <w:br/>
      </w:r>
    </w:p>
    <w:p>
      <w:pPr>
        <w:pStyle w:val="null3"/>
        <w:jc w:val="center"/>
        <w:outlineLvl w:val="2"/>
      </w:pPr>
      <w:r>
        <w:rPr>
          <w:rFonts w:ascii="仿宋_GB2312" w:hAnsi="仿宋_GB2312" w:cs="仿宋_GB2312" w:eastAsia="仿宋_GB2312"/>
          <w:sz w:val="28"/>
          <w:b/>
        </w:rPr>
        <w:t>西安阎良国家航空高技术产业基地管理委员会</w:t>
      </w:r>
    </w:p>
    <w:p>
      <w:pPr>
        <w:pStyle w:val="null3"/>
        <w:jc w:val="center"/>
        <w:outlineLvl w:val="2"/>
      </w:pPr>
      <w:r>
        <w:rPr>
          <w:rFonts w:ascii="仿宋_GB2312" w:hAnsi="仿宋_GB2312" w:cs="仿宋_GB2312" w:eastAsia="仿宋_GB2312"/>
          <w:sz w:val="28"/>
          <w:b/>
        </w:rPr>
        <w:t>永明项目管理有限公司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永明项目管理有限公司</w:t>
      </w:r>
      <w:r>
        <w:rPr>
          <w:rFonts w:ascii="仿宋_GB2312" w:hAnsi="仿宋_GB2312" w:cs="仿宋_GB2312" w:eastAsia="仿宋_GB2312"/>
        </w:rPr>
        <w:t>（以下简称“代理机构”）受</w:t>
      </w:r>
      <w:r>
        <w:rPr>
          <w:rFonts w:ascii="仿宋_GB2312" w:hAnsi="仿宋_GB2312" w:cs="仿宋_GB2312" w:eastAsia="仿宋_GB2312"/>
        </w:rPr>
        <w:t>西安阎良国家航空高技术产业基地管理委员会</w:t>
      </w:r>
      <w:r>
        <w:rPr>
          <w:rFonts w:ascii="仿宋_GB2312" w:hAnsi="仿宋_GB2312" w:cs="仿宋_GB2312" w:eastAsia="仿宋_GB2312"/>
        </w:rPr>
        <w:t>委托，拟对</w:t>
      </w:r>
      <w:r>
        <w:rPr>
          <w:rFonts w:ascii="仿宋_GB2312" w:hAnsi="仿宋_GB2312" w:cs="仿宋_GB2312" w:eastAsia="仿宋_GB2312"/>
        </w:rPr>
        <w:t>航空基地公共停车场停车位特许经营项目(二次)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YMD-2025004ZS-2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航空基地公共停车场停车位特许经营项目(二次)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1、项目名称：航空基地公共停车场停车位特许经营项目 2、项目基本情况 2.1 项目特许经营范围及建设内容 航空基地公共停车场176个停车位10年特许经营权，其中英雄广场1号停车场、英雄广场2号停车场、游客服务中心新能源充电站停车场三个停车场共159个停车位，属于一类区域，由中标单位正常收取停车费。霞光路口袋公园停车场有停车位17个，属于三类区域，停车场免费，由中标单位进行管理维护。 按照西安市及阎良区停车收费相关标准、西安市及阎良区停车收费相关管理办法对四个停车场进行停车收费管理，配备道闸、ETC等停车收费设施，配备专职收费管理人员24小时值班及保洁人员，维护停车场停车秩序，确保停车场环境整洁卫生，不得私自关闭停车场、调整停车收费标准、改变停车场规划及用途。 2.2 特许经营权评估价 根据本项目《西安阎良国家航空高技术产业基地管理委员会拟转让特许经营权涉及的 176个公共停车位10年特许经营权市场价值评估项目资产评估报告》，本项目拟转让的存量停车位10年运营期的特许经营权的市场价值为人民币160.10万元。 3、特许经营期限：特许经营期为10年。 4、符合国家发展改革委等六部门联合发布的《基础设施和公用事业特许经营管理办法》要求。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1、营业执照：在中华人民共和国境内注册，依法取得并有效存续的营业执照（含电子营业执照）\事业单位法人证书\民办非企业单位登记证书\非企业专业服务机构执业许可证等。</w:t>
      </w:r>
    </w:p>
    <w:p>
      <w:pPr>
        <w:pStyle w:val="null3"/>
      </w:pPr>
      <w:r>
        <w:rPr>
          <w:rFonts w:ascii="仿宋_GB2312" w:hAnsi="仿宋_GB2312" w:cs="仿宋_GB2312" w:eastAsia="仿宋_GB2312"/>
        </w:rPr>
        <w:t>2、法定代表人或其授权代理人：供应商应授权合法的人员参加投标，其中法定代表人（主要负责人）直接参加的须出具法人身份证并与营业执照上信息一致，法定代表人（主要负责人）授权代表参加的须出具法定代表人授权书及被授权人身份证及本单位证明(提交投标文件截止时间前近三个月社会保险缴纳证明)。</w:t>
      </w:r>
    </w:p>
    <w:p>
      <w:pPr>
        <w:pStyle w:val="null3"/>
      </w:pPr>
      <w:r>
        <w:rPr>
          <w:rFonts w:ascii="仿宋_GB2312" w:hAnsi="仿宋_GB2312" w:cs="仿宋_GB2312" w:eastAsia="仿宋_GB2312"/>
        </w:rPr>
        <w:t>3、财务状况：财务状况（任选其一）：1.2023年度或2024年度经审计的财务会计报告（至少包括审计报告、资产负债表、现金流量表、利润表及附注，成立时间至提交投标文件截止时间不足一年的可提供成立后任意时段的资产负债表）2.提交投标文件截止时间三个月内其基本账户开户银行出具的资信证明（附基本存款账户信息）。</w:t>
      </w:r>
    </w:p>
    <w:p>
      <w:pPr>
        <w:pStyle w:val="null3"/>
      </w:pPr>
      <w:r>
        <w:rPr>
          <w:rFonts w:ascii="仿宋_GB2312" w:hAnsi="仿宋_GB2312" w:cs="仿宋_GB2312" w:eastAsia="仿宋_GB2312"/>
        </w:rPr>
        <w:t>4、税收缴纳证明：提交投标文件截止时间前一年内至少一个月的纳税证明或完税证明，纳税证明或完税证明上应有代收机构或税务机关的公章或业务专用章。（依法免税的供应商应提供相应文件证明）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5、社保资金缴纳证明：提交投标文件截止时间前一年内至少一个月的社会保障资金缴存单据或社保机构开具的社会保险参保缴费情况证明，单据或证明上应有社保机构或代收机构的公章或业务专用章。（依法不需要缴纳社会保障资金的供应商应提供相应文件证明）</w:t>
      </w:r>
    </w:p>
    <w:p>
      <w:pPr>
        <w:pStyle w:val="null3"/>
      </w:pPr>
      <w:r>
        <w:rPr>
          <w:rFonts w:ascii="仿宋_GB2312" w:hAnsi="仿宋_GB2312" w:cs="仿宋_GB2312" w:eastAsia="仿宋_GB2312"/>
        </w:rPr>
        <w:t>6、提供具有履行的专业技术承诺：供应商提供具有履行本合同所必需的设备和专业技术能力的承诺函。</w:t>
      </w:r>
    </w:p>
    <w:p>
      <w:pPr>
        <w:pStyle w:val="null3"/>
      </w:pPr>
      <w:r>
        <w:rPr>
          <w:rFonts w:ascii="仿宋_GB2312" w:hAnsi="仿宋_GB2312" w:cs="仿宋_GB2312" w:eastAsia="仿宋_GB2312"/>
        </w:rPr>
        <w:t>7、无重大违法记录声明：参加本次政府采购活动前3年内在经营活动中没有重大违法记录，以及未被列入失信被执行人、重大税收违法案件当事人名单、政府采购严重违法失信行为记录名单的书面声明。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8、供应商信用查询：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投标。</w:t>
      </w:r>
    </w:p>
    <w:p>
      <w:pPr>
        <w:pStyle w:val="null3"/>
      </w:pPr>
      <w:r>
        <w:rPr>
          <w:rFonts w:ascii="仿宋_GB2312" w:hAnsi="仿宋_GB2312" w:cs="仿宋_GB2312" w:eastAsia="仿宋_GB2312"/>
        </w:rPr>
        <w:t>9、其他资料：1.单位负责人为同一人或者存在直接控股、管理关系的不同投标人，不得参加同一合同项下的政府采购活动。 2.本项目不接受联合体投标。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西安阎良国家航空高技术产业基地管理委员会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西安市阎良区蓝天路88号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赵博伟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15502927731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永明项目管理有限公司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陕西省西咸新区沣西新城尚业路1309号总部经济园6号楼516室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13572854035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西安阎良国家航空高技术产业基地管理委员会财政金融局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周洋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86851971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采购包1：754.95元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代理服务费收费标准：以采购项目的特许经营权价值付费作为收费基数，按照国家计委（计价格【2002】1980号）《招标代理服务收费管理暂行办法》及发改办价格『2003』857号中规定的收费标准收取。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西安阎良国家航空高技术产业基地管理委员会</w:t>
      </w:r>
      <w:r>
        <w:rPr>
          <w:rFonts w:ascii="仿宋_GB2312" w:hAnsi="仿宋_GB2312" w:cs="仿宋_GB2312" w:eastAsia="仿宋_GB2312"/>
        </w:rPr>
        <w:t>和</w:t>
      </w:r>
      <w:r>
        <w:rPr>
          <w:rFonts w:ascii="仿宋_GB2312" w:hAnsi="仿宋_GB2312" w:cs="仿宋_GB2312" w:eastAsia="仿宋_GB2312"/>
        </w:rPr>
        <w:t>永明项目管理有限公司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西安阎良国家航空高技术产业基地管理委员会</w:t>
      </w:r>
      <w:r>
        <w:rPr>
          <w:rFonts w:ascii="仿宋_GB2312" w:hAnsi="仿宋_GB2312" w:cs="仿宋_GB2312" w:eastAsia="仿宋_GB2312"/>
        </w:rPr>
        <w:t>负责解释。除上述招标文件内容，其他内容由</w:t>
      </w:r>
      <w:r>
        <w:rPr>
          <w:rFonts w:ascii="仿宋_GB2312" w:hAnsi="仿宋_GB2312" w:cs="仿宋_GB2312" w:eastAsia="仿宋_GB2312"/>
        </w:rPr>
        <w:t>永明项目管理有限公司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西安阎良国家航空高技术产业基地管理委员会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永明项目管理有限公司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严格按照招标文件及国家相关标准、行业标准、地方标准或者其他标准、规范标准执行。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永明项目管理有限公司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永明项目管理有限公司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永明项目管理有限公司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联系人：李强</w:t>
      </w:r>
    </w:p>
    <w:p>
      <w:pPr>
        <w:pStyle w:val="null3"/>
      </w:pPr>
      <w:r>
        <w:rPr>
          <w:rFonts w:ascii="仿宋_GB2312" w:hAnsi="仿宋_GB2312" w:cs="仿宋_GB2312" w:eastAsia="仿宋_GB2312"/>
        </w:rPr>
        <w:t>联系电话：13572854035</w:t>
      </w:r>
    </w:p>
    <w:p>
      <w:pPr>
        <w:pStyle w:val="null3"/>
      </w:pPr>
      <w:r>
        <w:rPr>
          <w:rFonts w:ascii="仿宋_GB2312" w:hAnsi="仿宋_GB2312" w:cs="仿宋_GB2312" w:eastAsia="仿宋_GB2312"/>
        </w:rPr>
        <w:t>地址：陕西省西咸新区沣东新城征和四路沣东自贸产业园一期2号楼3楼</w:t>
      </w:r>
    </w:p>
    <w:p>
      <w:pPr>
        <w:pStyle w:val="null3"/>
      </w:pPr>
      <w:r>
        <w:rPr>
          <w:rFonts w:ascii="仿宋_GB2312" w:hAnsi="仿宋_GB2312" w:cs="仿宋_GB2312" w:eastAsia="仿宋_GB2312"/>
        </w:rPr>
        <w:t>邮编：712000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1、项目名称：航空基地公共停车场停车位特许经营项目 2、项目基本情况 2.1 项目特许经营范围及建设内容 航空基地公共停车场176个停车位10年特许经营权，其中英雄广场1号停车场、英雄广场2号停车场、游客服务中心新能源充电站停车场三个停车场共159个停车位，属于一类区域，由中标单位正常收取停车费。霞光路口袋公园停车场有停车位17个，属于三类区域，停车场免费，由中标单位进行管理维护。 按照西安市及阎良区停车收费相关标准、西安市及阎良区停车收费相关管理办法对四个停车场进行停车收费管理，配备道闸、ETC等停车收费设施，配备专职收费管理人员24小时值班及保洁人员，维护停车场停车秩序，确保停车场环境整洁卫生，不得私自关闭停车场、调整停车收费标准、改变停车场规划及用途。 2.2 特许经营权评估价 根据本项目《西安阎良国家航空高技术产业基地管理委员会拟转让特许经营权涉及的 176个公共停车位10年特许经营权市场价值评估项目资产评估报告》，本项目拟转让的存量停车位10年运营期的特许经营权的市场价值为人民币160.10万元。 3、特许经营期限：特许经营期为10年。 4、符合国家发展改革委等六部门联合发布的《基础设施和公用事业特许经营管理办法》要求。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754.95</w:t>
      </w:r>
    </w:p>
    <w:p>
      <w:pPr>
        <w:pStyle w:val="null3"/>
      </w:pPr>
      <w:r>
        <w:rPr>
          <w:rFonts w:ascii="仿宋_GB2312" w:hAnsi="仿宋_GB2312" w:cs="仿宋_GB2312" w:eastAsia="仿宋_GB2312"/>
        </w:rPr>
        <w:t>采购包最高限价（元）: 754.95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公共停车场停车位特许经营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754.95</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标的名称：公共停车场停车位特许经营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color w:val="000000"/>
              </w:rPr>
              <w:t>一、基本情况</w:t>
            </w:r>
          </w:p>
          <w:p>
            <w:pPr>
              <w:pStyle w:val="null3"/>
              <w:jc w:val="left"/>
            </w:pPr>
            <w:r>
              <w:rPr>
                <w:rFonts w:ascii="仿宋_GB2312" w:hAnsi="仿宋_GB2312" w:cs="仿宋_GB2312" w:eastAsia="仿宋_GB2312"/>
                <w:sz w:val="21"/>
                <w:color w:val="000000"/>
              </w:rPr>
              <w:t>1、项目名称：航空基地公共停车场停车位特许经营项目</w:t>
            </w:r>
          </w:p>
          <w:p>
            <w:pPr>
              <w:pStyle w:val="null3"/>
            </w:pPr>
            <w:r>
              <w:rPr>
                <w:rFonts w:ascii="仿宋_GB2312" w:hAnsi="仿宋_GB2312" w:cs="仿宋_GB2312" w:eastAsia="仿宋_GB2312"/>
                <w:sz w:val="21"/>
                <w:color w:val="000000"/>
              </w:rPr>
              <w:t>2、项目基本情况</w:t>
            </w:r>
          </w:p>
          <w:p>
            <w:pPr>
              <w:pStyle w:val="null3"/>
            </w:pPr>
            <w:r>
              <w:rPr>
                <w:rFonts w:ascii="仿宋_GB2312" w:hAnsi="仿宋_GB2312" w:cs="仿宋_GB2312" w:eastAsia="仿宋_GB2312"/>
                <w:sz w:val="21"/>
                <w:color w:val="000000"/>
              </w:rPr>
              <w:t>2.1 项目特许经营范围及建设内容</w:t>
            </w:r>
          </w:p>
          <w:p>
            <w:pPr>
              <w:pStyle w:val="null3"/>
            </w:pPr>
            <w:r>
              <w:rPr>
                <w:rFonts w:ascii="仿宋_GB2312" w:hAnsi="仿宋_GB2312" w:cs="仿宋_GB2312" w:eastAsia="仿宋_GB2312"/>
                <w:sz w:val="21"/>
                <w:color w:val="000000"/>
              </w:rPr>
              <w:t>航空基地公共停车场176个停车位10年特</w:t>
            </w:r>
            <w:r>
              <w:rPr>
                <w:rFonts w:ascii="仿宋_GB2312" w:hAnsi="仿宋_GB2312" w:cs="仿宋_GB2312" w:eastAsia="仿宋_GB2312"/>
                <w:sz w:val="21"/>
                <w:color w:val="000000"/>
              </w:rPr>
              <w:t>许经营权，其中英雄广场1号停车场、英雄广场2号停车场、游客服务中心新能源充电站停车场三个停车场共159个停车位，属于一类区域，由中标单位正常收取停车费。霞光路口袋公园停车场有停车位17个，属于三类区域，停车场免费，由中标单位进行管理维护。</w:t>
            </w:r>
          </w:p>
          <w:p>
            <w:pPr>
              <w:pStyle w:val="null3"/>
            </w:pPr>
            <w:r>
              <w:rPr>
                <w:rFonts w:ascii="仿宋_GB2312" w:hAnsi="仿宋_GB2312" w:cs="仿宋_GB2312" w:eastAsia="仿宋_GB2312"/>
                <w:sz w:val="21"/>
                <w:color w:val="000000"/>
              </w:rPr>
              <w:t>按照西安市及阎良区停车收费相关标准、西安市及阎良区停车收费相关管理办法对四个停车场进行停车收费管理，配备道闸、ETC等停车收费设施，配备专职收费管理人员24小时值班及保洁人员，维护停车场停车秩序，确保停车场环境整洁卫生，不得私自关闭停车场、调整停车收费标准、改变停车场规划及用途。</w:t>
            </w:r>
          </w:p>
          <w:p>
            <w:pPr>
              <w:pStyle w:val="null3"/>
            </w:pPr>
            <w:r>
              <w:rPr>
                <w:rFonts w:ascii="仿宋_GB2312" w:hAnsi="仿宋_GB2312" w:cs="仿宋_GB2312" w:eastAsia="仿宋_GB2312"/>
                <w:sz w:val="21"/>
                <w:color w:val="000000"/>
              </w:rPr>
              <w:t>2.2 特许经营权评估价</w:t>
            </w:r>
          </w:p>
          <w:p>
            <w:pPr>
              <w:pStyle w:val="null3"/>
            </w:pPr>
            <w:r>
              <w:rPr>
                <w:rFonts w:ascii="仿宋_GB2312" w:hAnsi="仿宋_GB2312" w:cs="仿宋_GB2312" w:eastAsia="仿宋_GB2312"/>
                <w:sz w:val="21"/>
                <w:color w:val="000000"/>
              </w:rPr>
              <w:t>根据本项目《西安阎良国家航空高技术产业基地管理委员会拟转让特许经营权涉及的 176个公共停车位10年特许经营权市场价值评估项目资产评估报告》，本项目拟转让的存量停车位10年运营期的特许经营权的市场价值为人民币160.10万元。</w:t>
            </w:r>
          </w:p>
          <w:p>
            <w:pPr>
              <w:pStyle w:val="null3"/>
            </w:pPr>
            <w:r>
              <w:rPr>
                <w:rFonts w:ascii="仿宋_GB2312" w:hAnsi="仿宋_GB2312" w:cs="仿宋_GB2312" w:eastAsia="仿宋_GB2312"/>
                <w:sz w:val="21"/>
                <w:color w:val="000000"/>
              </w:rPr>
              <w:t>3、特许经营期限：特许经营期为10年。</w:t>
            </w:r>
          </w:p>
          <w:p>
            <w:pPr>
              <w:pStyle w:val="null3"/>
            </w:pPr>
            <w:r>
              <w:rPr>
                <w:rFonts w:ascii="仿宋_GB2312" w:hAnsi="仿宋_GB2312" w:cs="仿宋_GB2312" w:eastAsia="仿宋_GB2312"/>
                <w:sz w:val="21"/>
                <w:color w:val="000000"/>
              </w:rPr>
              <w:t>4、符合国家发展改革委等六部门联合发布的《基础设施和公用事业特许经营管理办法》要求。</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b/>
                <w:color w:val="000000"/>
              </w:rPr>
              <w:t>二、项目运营内容</w:t>
            </w:r>
          </w:p>
          <w:p>
            <w:pPr>
              <w:pStyle w:val="null3"/>
              <w:jc w:val="left"/>
            </w:pPr>
            <w:r>
              <w:rPr>
                <w:rFonts w:ascii="仿宋_GB2312" w:hAnsi="仿宋_GB2312" w:cs="仿宋_GB2312" w:eastAsia="仿宋_GB2312"/>
                <w:sz w:val="21"/>
                <w:color w:val="000000"/>
              </w:rPr>
              <w:t>1、本项目运营内容为特许经营范围内停车场和停车位的运营和维护。具体服务内容包括：</w:t>
            </w:r>
          </w:p>
          <w:p>
            <w:pPr>
              <w:pStyle w:val="null3"/>
            </w:pPr>
            <w:r>
              <w:rPr>
                <w:rFonts w:ascii="仿宋_GB2312" w:hAnsi="仿宋_GB2312" w:cs="仿宋_GB2312" w:eastAsia="仿宋_GB2312"/>
                <w:sz w:val="21"/>
                <w:color w:val="000000"/>
              </w:rPr>
              <w:t>（1）基础设备设施的管理维护：包括停车位的运营维护和广告设施（若有）的运营维护。</w:t>
            </w:r>
          </w:p>
          <w:p>
            <w:pPr>
              <w:pStyle w:val="null3"/>
            </w:pPr>
            <w:r>
              <w:rPr>
                <w:rFonts w:ascii="仿宋_GB2312" w:hAnsi="仿宋_GB2312" w:cs="仿宋_GB2312" w:eastAsia="仿宋_GB2312"/>
                <w:sz w:val="21"/>
                <w:color w:val="000000"/>
              </w:rPr>
              <w:t>（2）软件维护：包括道路智慧停车服务平台运营维护、智能停车管理系统、基于云技术的软硬件基础设施（云服务）的维护、智慧停</w:t>
            </w:r>
            <w:r>
              <w:rPr>
                <w:rFonts w:ascii="仿宋_GB2312" w:hAnsi="仿宋_GB2312" w:cs="仿宋_GB2312" w:eastAsia="仿宋_GB2312"/>
                <w:sz w:val="21"/>
                <w:color w:val="000000"/>
              </w:rPr>
              <w:t>车 APP 的运营。</w:t>
            </w:r>
          </w:p>
          <w:p>
            <w:pPr>
              <w:pStyle w:val="null3"/>
            </w:pPr>
            <w:r>
              <w:rPr>
                <w:rFonts w:ascii="仿宋_GB2312" w:hAnsi="仿宋_GB2312" w:cs="仿宋_GB2312" w:eastAsia="仿宋_GB2312"/>
                <w:sz w:val="21"/>
                <w:color w:val="000000"/>
              </w:rPr>
              <w:t>2、运作模式说明：</w:t>
            </w:r>
          </w:p>
          <w:p>
            <w:pPr>
              <w:pStyle w:val="null3"/>
            </w:pPr>
            <w:r>
              <w:rPr>
                <w:rFonts w:ascii="仿宋_GB2312" w:hAnsi="仿宋_GB2312" w:cs="仿宋_GB2312" w:eastAsia="仿宋_GB2312"/>
                <w:sz w:val="21"/>
                <w:color w:val="000000"/>
              </w:rPr>
              <w:t>2.1 特许经营者在特许经营期内负责本项目的投融资、建设、运营维护，通过向公众收取公众购买相关公共服务的费用，获得使用者付费用于收回投资成本及运营管理成本并获得合理的投资回报。本项目由特许经营者负责本项目特许经营范围内停车位的运营和维护，并向停车用户收取停车费用。特许经营者通过收取使用者付费来收回其购置投资、运营维护成本并获得合理回报。</w:t>
            </w:r>
          </w:p>
          <w:p>
            <w:pPr>
              <w:pStyle w:val="null3"/>
            </w:pPr>
            <w:r>
              <w:rPr>
                <w:rFonts w:ascii="仿宋_GB2312" w:hAnsi="仿宋_GB2312" w:cs="仿宋_GB2312" w:eastAsia="仿宋_GB2312"/>
                <w:sz w:val="21"/>
                <w:color w:val="000000"/>
              </w:rPr>
              <w:t>2.2 特许经营期结束后，特许经营者将项目特许经营权无偿移交给西安阎良国家航空高技术产业基地管理委员会或其指定机构。</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4"/>
                <w:b/>
                <w:color w:val="000000"/>
              </w:rPr>
              <w:t>三、项目资产</w:t>
            </w:r>
          </w:p>
          <w:p>
            <w:pPr>
              <w:pStyle w:val="null3"/>
              <w:jc w:val="both"/>
            </w:pPr>
            <w:r>
              <w:rPr>
                <w:rFonts w:ascii="仿宋_GB2312" w:hAnsi="仿宋_GB2312" w:cs="仿宋_GB2312" w:eastAsia="仿宋_GB2312"/>
                <w:sz w:val="21"/>
                <w:color w:val="000000"/>
              </w:rPr>
              <w:t>项目资产：在特许经营期内，特许经营者享有本项目中固定资产及附属设施的使用权及特许经营权，本项目及附属设施等各项有形及无形资产的所有权仍归属西安阎良国家航空高技术产业基地管理委员会。</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4"/>
                <w:b/>
                <w:color w:val="000000"/>
              </w:rPr>
              <w:t>四、特许经营权价值付费计算公式</w:t>
            </w:r>
          </w:p>
          <w:p>
            <w:pPr>
              <w:pStyle w:val="null3"/>
              <w:jc w:val="left"/>
            </w:pPr>
            <w:r>
              <w:rPr>
                <w:rFonts w:ascii="仿宋_GB2312" w:hAnsi="仿宋_GB2312" w:cs="仿宋_GB2312" w:eastAsia="仿宋_GB2312"/>
                <w:sz w:val="21"/>
                <w:color w:val="000000"/>
              </w:rPr>
              <w:t>特许经营权价值付费计算公式为：160.1 万元+[ 8.54×（754.95-投标报价）]万元。其中 160.1 万元为176个停车泊位10年特许经营权的评估市场价值，754.95元/个·年为单车位年运营成本（即最高限价），8.54为特许经营权价值换算系数。</w:t>
            </w:r>
          </w:p>
          <w:p>
            <w:pPr>
              <w:pStyle w:val="null3"/>
            </w:pPr>
            <w:r>
              <w:rPr>
                <w:rFonts w:ascii="仿宋_GB2312" w:hAnsi="仿宋_GB2312" w:cs="仿宋_GB2312" w:eastAsia="仿宋_GB2312"/>
                <w:sz w:val="21"/>
                <w:color w:val="000000"/>
              </w:rPr>
              <w:t>合同签订后3个工作日内，中标人按约定支付特许经营权成交价款。</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4"/>
                <w:b/>
                <w:color w:val="000000"/>
              </w:rPr>
              <w:t>五、服务要求</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、特许经营者按要求及时建设停车泊位，确保停车设施、设备正常使用。</w:t>
            </w:r>
          </w:p>
          <w:p>
            <w:pPr>
              <w:pStyle w:val="null3"/>
            </w:pPr>
            <w:r>
              <w:rPr>
                <w:rFonts w:ascii="仿宋_GB2312" w:hAnsi="仿宋_GB2312" w:cs="仿宋_GB2312" w:eastAsia="仿宋_GB2312"/>
                <w:sz w:val="21"/>
              </w:rPr>
              <w:t>2、特许经营者在办理停车经营备案、收费价格核定、专用票据领用等相关手续后，方可进行机动车停放服务收费。</w:t>
            </w:r>
          </w:p>
          <w:p>
            <w:pPr>
              <w:pStyle w:val="null3"/>
            </w:pPr>
            <w:r>
              <w:rPr>
                <w:rFonts w:ascii="仿宋_GB2312" w:hAnsi="仿宋_GB2312" w:cs="仿宋_GB2312" w:eastAsia="仿宋_GB2312"/>
                <w:sz w:val="21"/>
              </w:rPr>
              <w:t>3、特许经营者应当落实公示制度，在醒目位置公布停放车辆服务收费的管理形式、车辆类型、服务内容、计费单位、收费标准、投诉举报电话等相关内容，严格按批准的收费标准和计费方式收费。</w:t>
            </w:r>
          </w:p>
          <w:p>
            <w:pPr>
              <w:pStyle w:val="null3"/>
            </w:pPr>
            <w:r>
              <w:rPr>
                <w:rFonts w:ascii="仿宋_GB2312" w:hAnsi="仿宋_GB2312" w:cs="仿宋_GB2312" w:eastAsia="仿宋_GB2312"/>
                <w:sz w:val="21"/>
              </w:rPr>
              <w:t>4、特许经营者应当认真履行特许经营协议承诺和相关义务，接受主管部门及社会公众的监督管理和服务质量考核，保证向停车人提供普遍、连续、无歧视的停车服务。</w:t>
            </w:r>
          </w:p>
          <w:p>
            <w:pPr>
              <w:pStyle w:val="null3"/>
            </w:pPr>
            <w:r>
              <w:rPr>
                <w:rFonts w:ascii="仿宋_GB2312" w:hAnsi="仿宋_GB2312" w:cs="仿宋_GB2312" w:eastAsia="仿宋_GB2312"/>
                <w:sz w:val="21"/>
              </w:rPr>
              <w:t>5、特许经营者应当依法经营，遵守特许经营协议，建立并执行经营服务、安全管理等制度。</w:t>
            </w:r>
          </w:p>
          <w:p>
            <w:pPr>
              <w:pStyle w:val="null3"/>
            </w:pPr>
            <w:r>
              <w:rPr>
                <w:rFonts w:ascii="仿宋_GB2312" w:hAnsi="仿宋_GB2312" w:cs="仿宋_GB2312" w:eastAsia="仿宋_GB2312"/>
                <w:sz w:val="21"/>
              </w:rPr>
              <w:t>6、特许经营者应当保持经营地段的道路设施完好、停车标志标线完整清晰，服从应急抢险指挥，并为道路、市政、水务等设施应急抢险工作提供便利。</w:t>
            </w:r>
          </w:p>
          <w:p>
            <w:pPr>
              <w:pStyle w:val="null3"/>
            </w:pPr>
            <w:r>
              <w:rPr>
                <w:rFonts w:ascii="仿宋_GB2312" w:hAnsi="仿宋_GB2312" w:cs="仿宋_GB2312" w:eastAsia="仿宋_GB2312"/>
                <w:sz w:val="21"/>
              </w:rPr>
              <w:t>7、特许经营方应及时按特许经营协议的约定支付特许经营权成交价款。</w:t>
            </w:r>
          </w:p>
          <w:p>
            <w:pPr>
              <w:pStyle w:val="null3"/>
            </w:pPr>
            <w:r>
              <w:rPr>
                <w:rFonts w:ascii="仿宋_GB2312" w:hAnsi="仿宋_GB2312" w:cs="仿宋_GB2312" w:eastAsia="仿宋_GB2312"/>
                <w:sz w:val="21"/>
              </w:rPr>
              <w:t>8、特许经营方应配合考核并作出整改。</w:t>
            </w:r>
          </w:p>
          <w:p>
            <w:pPr>
              <w:pStyle w:val="null3"/>
            </w:pPr>
            <w:r>
              <w:rPr>
                <w:rFonts w:ascii="仿宋_GB2312" w:hAnsi="仿宋_GB2312" w:cs="仿宋_GB2312" w:eastAsia="仿宋_GB2312"/>
                <w:sz w:val="21"/>
              </w:rPr>
              <w:t>9、特许经营方不得有下列行为：(1)擅自转让、出租特许经营权或者以股权转让等其他方式变相转让、处置特许经营权；(2)超越特许经营协议约定的区域、路段和泊位数量收费经营；(3)将经营路段或停车泊位包租给商业、餐饮等临街单位或个人；(4)在经营路段安装地桩、地锁及其他影响车辆正常停放或道路交通安全的设备、设施；(5)不按规定标准收费；(6) 擅自停业、歇业；(7)法律法规和特许经营协议禁止的其他行为。</w:t>
            </w:r>
          </w:p>
          <w:p>
            <w:pPr>
              <w:pStyle w:val="null3"/>
            </w:pPr>
            <w:r>
              <w:rPr>
                <w:rFonts w:ascii="仿宋_GB2312" w:hAnsi="仿宋_GB2312" w:cs="仿宋_GB2312" w:eastAsia="仿宋_GB2312"/>
                <w:sz w:val="21"/>
              </w:rPr>
              <w:t>10、特许经营方应当建立并执行巡查制度，对特许经营范围内的违法停车、违法设置停车位、违法占道收费经营等行为负有巡查和及时举报义务。</w:t>
            </w:r>
          </w:p>
          <w:p>
            <w:pPr>
              <w:pStyle w:val="null3"/>
            </w:pPr>
            <w:r>
              <w:rPr>
                <w:rFonts w:ascii="仿宋_GB2312" w:hAnsi="仿宋_GB2312" w:cs="仿宋_GB2312" w:eastAsia="仿宋_GB2312"/>
                <w:sz w:val="21"/>
              </w:rPr>
              <w:t>11、配合政府相关部门对特许经营方履行巡查和及时举报义务情况进行检查考核，配合政府相关部门对特许经营区域内的违法行为的查处，维护特许经营方和停车人合法权益。</w:t>
            </w:r>
          </w:p>
          <w:p>
            <w:pPr>
              <w:pStyle w:val="null3"/>
            </w:pPr>
            <w:r>
              <w:rPr>
                <w:rFonts w:ascii="仿宋_GB2312" w:hAnsi="仿宋_GB2312" w:cs="仿宋_GB2312" w:eastAsia="仿宋_GB2312"/>
                <w:sz w:val="21"/>
              </w:rPr>
              <w:t>12、配合政府相关部门将对特许经营方的许可、备案信息、经营路段和停车泊位信息以及收费标准、收费人员等信息进行公示并提供查询服务，配合相关部门按照各自职责对特许经营方执行价格政策、缴纳规费税费、使用专用票据、执行经营服务规范等情况的监督检查。</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4"/>
                <w:b/>
                <w:color w:val="000000"/>
              </w:rPr>
              <w:t>六、停车泊位明细</w:t>
            </w:r>
          </w:p>
          <w:tbl>
            <w:tblPr>
              <w:tblInd w:type="dxa" w:w="135"/>
              <w:tblBorders>
                <w:top w:val="none" w:color="000000" w:sz="4"/>
                <w:left w:val="none" w:color="000000" w:sz="4"/>
                <w:bottom w:val="none" w:color="000000" w:sz="4"/>
                <w:right w:val="none" w:color="000000" w:sz="4"/>
                <w:insideH w:val="none"/>
                <w:insideV w:val="none"/>
              </w:tblBorders>
            </w:tblPr>
            <w:tblGrid>
              <w:gridCol w:w="212"/>
              <w:gridCol w:w="799"/>
              <w:gridCol w:w="297"/>
              <w:gridCol w:w="382"/>
              <w:gridCol w:w="862"/>
            </w:tblGrid>
            <w:tr>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7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车场名称</w:t>
                  </w:r>
                </w:p>
              </w:tc>
              <w:tc>
                <w:tcPr>
                  <w:tcW w:type="dxa" w:w="2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p>
                  <w:pPr>
                    <w:pStyle w:val="null3"/>
                    <w:jc w:val="center"/>
                  </w:pPr>
                  <w:r>
                    <w:rPr>
                      <w:rFonts w:ascii="仿宋_GB2312" w:hAnsi="仿宋_GB2312" w:cs="仿宋_GB2312" w:eastAsia="仿宋_GB2312"/>
                      <w:sz w:val="24"/>
                    </w:rPr>
                    <w:t>（个）</w:t>
                  </w:r>
                </w:p>
              </w:tc>
              <w:tc>
                <w:tcPr>
                  <w:tcW w:type="dxa" w:w="3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收费区域</w:t>
                  </w:r>
                </w:p>
              </w:tc>
              <w:tc>
                <w:tcPr>
                  <w:tcW w:type="dxa" w:w="8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行政区域</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英雄广场</w:t>
                  </w:r>
                  <w:r>
                    <w:rPr>
                      <w:rFonts w:ascii="仿宋_GB2312" w:hAnsi="仿宋_GB2312" w:cs="仿宋_GB2312" w:eastAsia="仿宋_GB2312"/>
                      <w:sz w:val="24"/>
                    </w:rPr>
                    <w:t>1号停车场</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65</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一类</w:t>
                  </w: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西安阎良国家航空高技术产业基地管理委员会</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英雄广场</w:t>
                  </w:r>
                  <w:r>
                    <w:rPr>
                      <w:rFonts w:ascii="仿宋_GB2312" w:hAnsi="仿宋_GB2312" w:cs="仿宋_GB2312" w:eastAsia="仿宋_GB2312"/>
                      <w:sz w:val="24"/>
                    </w:rPr>
                    <w:t>2</w:t>
                  </w:r>
                  <w:r>
                    <w:rPr>
                      <w:rFonts w:ascii="仿宋_GB2312" w:hAnsi="仿宋_GB2312" w:cs="仿宋_GB2312" w:eastAsia="仿宋_GB2312"/>
                      <w:sz w:val="24"/>
                    </w:rPr>
                    <w:t>号停车场</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67</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一类</w:t>
                  </w: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西安阎良国家航空高技术产业基地管理委员会</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游客服务中心新能源</w:t>
                  </w:r>
                </w:p>
                <w:p>
                  <w:pPr>
                    <w:pStyle w:val="null3"/>
                    <w:jc w:val="center"/>
                  </w:pPr>
                  <w:r>
                    <w:rPr>
                      <w:rFonts w:ascii="仿宋_GB2312" w:hAnsi="仿宋_GB2312" w:cs="仿宋_GB2312" w:eastAsia="仿宋_GB2312"/>
                      <w:sz w:val="24"/>
                    </w:rPr>
                    <w:t>充电站停车场</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一类</w:t>
                  </w: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西安阎良国家航空高技术产业基地管理委员会</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霞光路口袋公园停车场</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三类</w:t>
                  </w:r>
                </w:p>
                <w:p>
                  <w:pPr>
                    <w:pStyle w:val="null3"/>
                    <w:jc w:val="center"/>
                  </w:pPr>
                  <w:r>
                    <w:rPr>
                      <w:rFonts w:ascii="仿宋_GB2312" w:hAnsi="仿宋_GB2312" w:cs="仿宋_GB2312" w:eastAsia="仿宋_GB2312"/>
                      <w:sz w:val="24"/>
                    </w:rPr>
                    <w:t>（免费）</w:t>
                  </w: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西安阎良国家航空高技术产业基地管理委员会</w:t>
                  </w:r>
                </w:p>
              </w:tc>
            </w:tr>
            <w:tr>
              <w:tc>
                <w:tcPr>
                  <w:tcW w:type="dxa" w:w="10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合计</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176</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针对本项目提供所需要的专业服务人员团队。</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针对本项目提供所需要的专业设备。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服务标准：按照国家相关标准、行业标准、地方标准或者其他标准、规范标准执行。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特许经营期为10年。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航空基地公共停车场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严格按照招标文件及国家相关标准、行业标准、地方标准或者其他标准、规范标准执行。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合同签订后3个工作日内，中标人按约定支付特许经营权成交价款</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中标人在中标结果发布后，将纸质版投标文件正本1册、副本2册打印盖章后提交至招标代理公司（永明项目管理有限公司：陕西省西咸新区沣东新城征和四路沣东自贸产业园一期2号楼3楼304室），以便招标人进行留存备案等工作，中标人应保持投标文件纸质版内容与电子版内容完全一致，否则将承担一切法律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在中华人民共和国境内注册，依法取得并有效存续的营业执照（含电子营业执照）\事业单位法人证书\民办非企业单位登记证书\非企业专业服务机构执业许可证等。</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法定代表人或其授权代理人</w:t>
            </w:r>
          </w:p>
        </w:tc>
        <w:tc>
          <w:tcPr>
            <w:tcW w:type="dxa" w:w="3322"/>
          </w:tcPr>
          <w:p>
            <w:pPr>
              <w:pStyle w:val="null3"/>
            </w:pPr>
            <w:r>
              <w:rPr>
                <w:rFonts w:ascii="仿宋_GB2312" w:hAnsi="仿宋_GB2312" w:cs="仿宋_GB2312" w:eastAsia="仿宋_GB2312"/>
              </w:rPr>
              <w:t>供应商应授权合法的人员参加投标，其中法定代表人（主要负责人）直接参加的须出具法人身份证并与营业执照上信息一致，法定代表人（主要负责人）授权代表参加的须出具法定代表人授权书及被授权人身份证及本单位证明(提交投标文件截止时间前近三个月社会保险缴纳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财务状况（任选其一）：1.2023年度或2024年度经审计的财务会计报告（至少包括审计报告、资产负债表、现金流量表、利润表及附注，成立时间至提交投标文件截止时间不足一年的可提供成立后任意时段的资产负债表）2.提交投标文件截止时间三个月内其基本账户开户银行出具的资信证明（附基本存款账户信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提交投标文件截止时间前一年内至少一个月的纳税证明或完税证明，纳税证明或完税证明上应有代收机构或税务机关的公章或业务专用章。（依法免税的供应商应提供相应文件证明）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提交投标文件截止时间前一年内至少一个月的社会保障资金缴存单据或社保机构开具的社会保险参保缴费情况证明，单据或证明上应有社保机构或代收机构的公章或业务专用章。（依法不需要缴纳社会保障资金的供应商应提供相应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提供具有履行的专业技术承诺</w:t>
            </w:r>
          </w:p>
        </w:tc>
        <w:tc>
          <w:tcPr>
            <w:tcW w:type="dxa" w:w="3322"/>
          </w:tcPr>
          <w:p>
            <w:pPr>
              <w:pStyle w:val="null3"/>
            </w:pPr>
            <w:r>
              <w:rPr>
                <w:rFonts w:ascii="仿宋_GB2312" w:hAnsi="仿宋_GB2312" w:cs="仿宋_GB2312" w:eastAsia="仿宋_GB2312"/>
              </w:rPr>
              <w:t>供应商提供具有履行本合同所必需的设备和专业技术能力的承诺函。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参加本次政府采购活动前3年内在经营活动中没有重大违法记录，以及未被列入失信被执行人、重大税收违法案件当事人名单、政府采购严重违法失信行为记录名单的书面声明。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供应商信用查询</w:t>
            </w:r>
          </w:p>
        </w:tc>
        <w:tc>
          <w:tcPr>
            <w:tcW w:type="dxa" w:w="3322"/>
          </w:tcPr>
          <w:p>
            <w:pPr>
              <w:pStyle w:val="null3"/>
            </w:pPr>
            <w:r>
              <w:rPr>
                <w:rFonts w:ascii="仿宋_GB2312" w:hAnsi="仿宋_GB2312" w:cs="仿宋_GB2312" w:eastAsia="仿宋_GB2312"/>
              </w:rPr>
              <w:t>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投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其他资料</w:t>
            </w:r>
          </w:p>
        </w:tc>
        <w:tc>
          <w:tcPr>
            <w:tcW w:type="dxa" w:w="3322"/>
          </w:tcPr>
          <w:p>
            <w:pPr>
              <w:pStyle w:val="null3"/>
            </w:pPr>
            <w:r>
              <w:rPr>
                <w:rFonts w:ascii="仿宋_GB2312" w:hAnsi="仿宋_GB2312" w:cs="仿宋_GB2312" w:eastAsia="仿宋_GB2312"/>
              </w:rPr>
              <w:t>1.单位负责人为同一人或者存在直接控股、管理关系的不同投标人，不得参加同一合同项下的政府采购活动。 2.本项目不接受联合体投标。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开标一览表 供应商应提交的相关资格证明材料.docx 服务要求、商务要求及合同条款要求应答表.docx 投标函 供应商类似项目业绩一览表.docx 中小企业声明函 残疾人福利性单位声明函 标的清单 投标文件封面 报价表.docx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投标文件签字及盖章</w:t>
            </w:r>
          </w:p>
        </w:tc>
        <w:tc>
          <w:tcPr>
            <w:tcW w:type="dxa" w:w="3322"/>
          </w:tcPr>
          <w:p>
            <w:pPr>
              <w:pStyle w:val="null3"/>
            </w:pPr>
            <w:r>
              <w:rPr>
                <w:rFonts w:ascii="仿宋_GB2312" w:hAnsi="仿宋_GB2312" w:cs="仿宋_GB2312" w:eastAsia="仿宋_GB2312"/>
              </w:rPr>
              <w:t>投标文件要求盖章或签字处均需要盖章或签字</w:t>
            </w:r>
          </w:p>
        </w:tc>
        <w:tc>
          <w:tcPr>
            <w:tcW w:type="dxa" w:w="1661"/>
          </w:tcPr>
          <w:p>
            <w:pPr>
              <w:pStyle w:val="null3"/>
            </w:pPr>
            <w:r>
              <w:rPr>
                <w:rFonts w:ascii="仿宋_GB2312" w:hAnsi="仿宋_GB2312" w:cs="仿宋_GB2312" w:eastAsia="仿宋_GB2312"/>
              </w:rPr>
              <w:t>开标一览表 供应商应提交的相关资格证明材料.docx 服务要求、商务要求及合同条款要求应答表.docx 投标函 供应商类似项目业绩一览表.docx 中小企业声明函 残疾人福利性单位声明函 标的清单 投标文件封面 报价表.docx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（1）只能有一个有效报价； （2）供应商报价超过最高限价的投标文件为无效投标。</w:t>
            </w:r>
          </w:p>
        </w:tc>
        <w:tc>
          <w:tcPr>
            <w:tcW w:type="dxa" w:w="1661"/>
          </w:tcPr>
          <w:p>
            <w:pPr>
              <w:pStyle w:val="null3"/>
            </w:pPr>
            <w:r>
              <w:rPr>
                <w:rFonts w:ascii="仿宋_GB2312" w:hAnsi="仿宋_GB2312" w:cs="仿宋_GB2312" w:eastAsia="仿宋_GB2312"/>
              </w:rPr>
              <w:t>开标一览表 标的清单 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90日历天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特许经营期为10年。</w:t>
            </w:r>
          </w:p>
        </w:tc>
        <w:tc>
          <w:tcPr>
            <w:tcW w:type="dxa" w:w="1661"/>
          </w:tcPr>
          <w:p>
            <w:pPr>
              <w:pStyle w:val="null3"/>
            </w:pPr>
            <w:r>
              <w:rPr>
                <w:rFonts w:ascii="仿宋_GB2312" w:hAnsi="仿宋_GB2312" w:cs="仿宋_GB2312" w:eastAsia="仿宋_GB2312"/>
              </w:rPr>
              <w:t>标的清单 报价表.docx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提供针对本项目的相关运营管理方案</w:t>
            </w:r>
          </w:p>
        </w:tc>
        <w:tc>
          <w:tcPr>
            <w:tcW w:type="dxa" w:w="2492"/>
          </w:tcPr>
          <w:p>
            <w:pPr>
              <w:pStyle w:val="null3"/>
            </w:pPr>
            <w:r>
              <w:rPr>
                <w:rFonts w:ascii="仿宋_GB2312" w:hAnsi="仿宋_GB2312" w:cs="仿宋_GB2312" w:eastAsia="仿宋_GB2312"/>
              </w:rPr>
              <w:t>一、评审内容 提供针对本项目的相关运营管理方案，包括以下内容：①对本项目的了解及理解程度；②项目运营目标及标准；③运营管理实施方案；④应急工作方案。 二、评审标准 1.完整性：方案须全面，对评审内容中的要求有详细描述及说明； 2.可实施性：切合本项目实际情况，实施步骤清晰、合理； 3.针对性：方案能够紧扣项目实际情况，内容科学合理。 三、赋分标准（满分24分） ①对本项目的了解及理解程度：每完全满足一项评审标准得2分，满分6分。 ②项目运营目标及标准：每完全满足一项评审标准得2分，满分6分。 ③运营管理实施方案：每完全满足一项评审标准得2分，满分6分。 ④应急工作方案：每完全满足一项评审标准得2分，满分6分。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提供针对停车泊位信息化管理系统的建设管理方案</w:t>
            </w:r>
          </w:p>
        </w:tc>
        <w:tc>
          <w:tcPr>
            <w:tcW w:type="dxa" w:w="2492"/>
          </w:tcPr>
          <w:p>
            <w:pPr>
              <w:pStyle w:val="null3"/>
            </w:pPr>
            <w:r>
              <w:rPr>
                <w:rFonts w:ascii="仿宋_GB2312" w:hAnsi="仿宋_GB2312" w:cs="仿宋_GB2312" w:eastAsia="仿宋_GB2312"/>
              </w:rPr>
              <w:t>一、评审内容 提供针对停车泊位信息化管理系统的建设管理方案，包括以下内容：①系统建设方案；②系统维护及改造升级方案。 二、评审标准 1.完整性：方案须全面，对评审内容中的要求有详细描述及说明； 2.可实施性：切合本项目实际情况，实施步骤清晰、合理； 3.针对性：方案能够紧扣项目实际情况，内容科学合理。 三、赋分标准（满分12分） ①系统建设方案：每完全满足一项评审标准得2分，满分6分。 ②系统维护及改造升级方案：每完全满足一项评审标准得2分，满分6分。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提供针对停车场现场的管理方案</w:t>
            </w:r>
          </w:p>
        </w:tc>
        <w:tc>
          <w:tcPr>
            <w:tcW w:type="dxa" w:w="2492"/>
          </w:tcPr>
          <w:p>
            <w:pPr>
              <w:pStyle w:val="null3"/>
            </w:pPr>
            <w:r>
              <w:rPr>
                <w:rFonts w:ascii="仿宋_GB2312" w:hAnsi="仿宋_GB2312" w:cs="仿宋_GB2312" w:eastAsia="仿宋_GB2312"/>
              </w:rPr>
              <w:t>一、评审内容 提供针对停车场现场的管理方案，包括以下内容：①现场人员管理；②现场车辆管理。 二、评审标准 1.完整性：方案须全面，对评审内容中的要求有详细描述及说明； 2.可实施性：切合本项目实际情况，实施步骤清晰、合理； 3.针对性：方案能够紧扣项目实际情况，内容科学合理。 三、赋分标准（满分6分） ①现场人员管理：每完全满足一项评审标准得1分，满分3分。 ②现场车辆管理：每完全满足一项评审标准得1分，满分3分。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提供针对本项目的相关自有资金证明材料或融资贷款计划</w:t>
            </w:r>
          </w:p>
        </w:tc>
        <w:tc>
          <w:tcPr>
            <w:tcW w:type="dxa" w:w="2492"/>
          </w:tcPr>
          <w:p>
            <w:pPr>
              <w:pStyle w:val="null3"/>
            </w:pPr>
            <w:r>
              <w:rPr>
                <w:rFonts w:ascii="仿宋_GB2312" w:hAnsi="仿宋_GB2312" w:cs="仿宋_GB2312" w:eastAsia="仿宋_GB2312"/>
              </w:rPr>
              <w:t>1、评审标准：（1）完整性：方案须全面，对评审内容中的要求有详细描述及说明；（2）可实施性：切合本项目实际情况，实施步骤清晰、合理；（3）针对性：方案能够紧扣项目实际情况，内容科学合理。 2、赋分标准（满分6分）每完全满足一项评审标准得2分，满分6分。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提供针对本项目投入的组织机构</w:t>
            </w:r>
          </w:p>
        </w:tc>
        <w:tc>
          <w:tcPr>
            <w:tcW w:type="dxa" w:w="2492"/>
          </w:tcPr>
          <w:p>
            <w:pPr>
              <w:pStyle w:val="null3"/>
            </w:pPr>
            <w:r>
              <w:rPr>
                <w:rFonts w:ascii="仿宋_GB2312" w:hAnsi="仿宋_GB2312" w:cs="仿宋_GB2312" w:eastAsia="仿宋_GB2312"/>
              </w:rPr>
              <w:t>一、评审内容 提供针对本项目投入的组织机构，包括以下内容：①拟投入人员数量名单；②人员职能划分及分工。 二、评审标准 1.完整性：方案须全面，对评审内容中的要求有详细描述及说明； 2.可实施性：切合本项目实际情况，实施步骤清晰、合理； 3.针对性：方案能够紧扣项目实际情况，内容科学合理。 三、赋分标准（满分12分） ①拟投入人员数量名单：每完全满足一项评审标准得2分，满分6分。 ②人员职能划分及分工：每完全满足一项评审标准得2分，满分6分。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具备完善的各项规章制度</w:t>
            </w:r>
          </w:p>
        </w:tc>
        <w:tc>
          <w:tcPr>
            <w:tcW w:type="dxa" w:w="2492"/>
          </w:tcPr>
          <w:p>
            <w:pPr>
              <w:pStyle w:val="null3"/>
            </w:pPr>
            <w:r>
              <w:rPr>
                <w:rFonts w:ascii="仿宋_GB2312" w:hAnsi="仿宋_GB2312" w:cs="仿宋_GB2312" w:eastAsia="仿宋_GB2312"/>
              </w:rPr>
              <w:t>一、评审内容 具备完善的各项规章制度，包括以下内容：①行政管理相关制度；②财务管理相关制度；③人员管理相关制度；④员工培训相关制度。 二、评审标准 1.完整性：方案须全面，对评审内容中的要求有详细描述及说明； 2.可实施性：切合本项目实际情况，实施步骤清晰、合理； 3.针对性：方案能够紧扣项目实际情况，内容科学合理。 三、赋分标准（满分12分） ①行政管理相关制度：每完全满足一项评审标准得1分，满分3分。 ②财务管理相关制度：每完全满足一项评审标准得1分，满分3分。 ③人员管理相关制度：每完全满足一项评审标准得1分，满分3分。 ④员工培训相关制度：每完全满足一项评审标准得1分，满分3分。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提供针对本项目重难点进行分析及合理化建议</w:t>
            </w:r>
          </w:p>
        </w:tc>
        <w:tc>
          <w:tcPr>
            <w:tcW w:type="dxa" w:w="2492"/>
          </w:tcPr>
          <w:p>
            <w:pPr>
              <w:pStyle w:val="null3"/>
            </w:pPr>
            <w:r>
              <w:rPr>
                <w:rFonts w:ascii="仿宋_GB2312" w:hAnsi="仿宋_GB2312" w:cs="仿宋_GB2312" w:eastAsia="仿宋_GB2312"/>
              </w:rPr>
              <w:t>一、评审内容 提供针对本项目重难点进行分析及合理化建议，包括以下内容：①重难点进行分析及提供解决措施；②合理化建议。 二、评审标准 1.完整性：方案须全面，对评审内容中的要求有详细描述及说明； 2.可实施性：切合本项目实际情况，实施步骤清晰、合理； 3.针对性：方案能够紧扣项目实际情况，内容科学合理。 三、赋分标准（满分12分） ①重难点进行分析及提供解决措施：每完全满足一项评审标准得2分，满分6分。 ②合理化建议：每完全满足一项评审标准得2分，满分6分。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供应商2022年1月1日至今承担过类似项目，每个业绩得2分，最高得6分（以合同协议书复印件加盖公章为准，时间以合同协议书签订时间为准，未提供合同协议书得0分）。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1.有效供应商最低报价作为基准价，各供应商的报价得分按下列公式计算：报价得分=（基准价/投标报价）×10%×100分。计算分数时四舍五入取小数点后两位。 2.计算分数时四舍五入取小数点后两位。（对小型和微型企业、监狱企业、残疾人福利性单位提供的本企业产品或其他小微企业产品的价格给予10%的价格扣除，用扣除后的价格参与评审，除此之外的其他情形均不适用本款规定；未提供声明函/证明函的不享受价格折扣。）</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报价表.docx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详见附件：服务要求、商务要求及合同条款要求应答表.docx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详见附件：供应商类似项目业绩一览表.docx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详见附件：合同附件.docx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