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9915B">
      <w:pPr>
        <w:pStyle w:val="4"/>
        <w:rPr>
          <w:rFonts w:hint="eastAsia"/>
          <w:lang w:eastAsia="zh-CN"/>
        </w:rPr>
      </w:pPr>
    </w:p>
    <w:p w14:paraId="51336CAF">
      <w:pPr>
        <w:pStyle w:val="4"/>
        <w:rPr>
          <w:rFonts w:hint="eastAsia"/>
          <w:lang w:eastAsia="zh-CN"/>
        </w:rPr>
      </w:pPr>
    </w:p>
    <w:p w14:paraId="5E0E319D">
      <w:pPr>
        <w:pStyle w:val="4"/>
        <w:rPr>
          <w:rFonts w:hint="eastAsia"/>
          <w:lang w:eastAsia="zh-CN"/>
        </w:rPr>
      </w:pPr>
    </w:p>
    <w:p w14:paraId="50D403AE">
      <w:pPr>
        <w:pStyle w:val="4"/>
        <w:rPr>
          <w:rFonts w:hint="eastAsia"/>
          <w:lang w:eastAsia="zh-CN"/>
        </w:rPr>
      </w:pPr>
    </w:p>
    <w:p w14:paraId="56A907B7">
      <w:pPr>
        <w:pStyle w:val="4"/>
        <w:rPr>
          <w:rFonts w:hint="eastAsia"/>
          <w:lang w:eastAsia="zh-CN"/>
        </w:rPr>
      </w:pPr>
    </w:p>
    <w:p w14:paraId="3FB2A947">
      <w:pPr>
        <w:pStyle w:val="4"/>
        <w:ind w:left="0" w:leftChars="0" w:firstLine="0" w:firstLineChars="0"/>
        <w:rPr>
          <w:rFonts w:hint="eastAsia"/>
          <w:lang w:eastAsia="zh-CN"/>
        </w:rPr>
      </w:pPr>
    </w:p>
    <w:p w14:paraId="0B0294E0">
      <w:pPr>
        <w:pStyle w:val="4"/>
        <w:rPr>
          <w:rFonts w:hint="eastAsia"/>
          <w:lang w:eastAsia="zh-CN"/>
        </w:rPr>
      </w:pPr>
    </w:p>
    <w:p w14:paraId="34AF69F8">
      <w:pPr>
        <w:pStyle w:val="4"/>
        <w:rPr>
          <w:rFonts w:hint="eastAsia"/>
          <w:lang w:eastAsia="zh-CN"/>
        </w:rPr>
      </w:pPr>
    </w:p>
    <w:p w14:paraId="71BC41A6">
      <w:pPr>
        <w:pStyle w:val="4"/>
        <w:rPr>
          <w:rFonts w:hint="eastAsia"/>
          <w:lang w:eastAsia="zh-CN"/>
        </w:rPr>
      </w:pPr>
    </w:p>
    <w:p w14:paraId="46447A34">
      <w:pPr>
        <w:pStyle w:val="4"/>
        <w:rPr>
          <w:rFonts w:hint="eastAsia"/>
          <w:lang w:eastAsia="zh-CN"/>
        </w:rPr>
      </w:pPr>
    </w:p>
    <w:p w14:paraId="53888224">
      <w:pPr>
        <w:pStyle w:val="4"/>
        <w:rPr>
          <w:rFonts w:hint="eastAsia"/>
          <w:lang w:eastAsia="zh-CN"/>
        </w:rPr>
      </w:pPr>
    </w:p>
    <w:p w14:paraId="252F4CB3">
      <w:pPr>
        <w:pStyle w:val="4"/>
        <w:rPr>
          <w:rFonts w:hint="eastAsia"/>
          <w:lang w:eastAsia="zh-CN"/>
        </w:rPr>
      </w:pPr>
    </w:p>
    <w:p w14:paraId="0CE49A36">
      <w:pPr>
        <w:pStyle w:val="4"/>
        <w:rPr>
          <w:rFonts w:hint="eastAsia"/>
          <w:lang w:eastAsia="zh-CN"/>
        </w:rPr>
      </w:pPr>
    </w:p>
    <w:p w14:paraId="07EAE6C5">
      <w:pPr>
        <w:pStyle w:val="4"/>
        <w:rPr>
          <w:rFonts w:hint="eastAsia"/>
          <w:lang w:eastAsia="zh-CN"/>
        </w:rPr>
      </w:pPr>
    </w:p>
    <w:p w14:paraId="02ACB36E">
      <w:pPr>
        <w:bidi w:val="0"/>
        <w:rPr>
          <w:rFonts w:hint="eastAsia"/>
          <w:lang w:eastAsia="zh-CN"/>
        </w:rPr>
      </w:pPr>
    </w:p>
    <w:p w14:paraId="4C9E9661">
      <w:pPr>
        <w:bidi w:val="0"/>
        <w:rPr>
          <w:rFonts w:hint="eastAsia"/>
          <w:lang w:eastAsia="zh-CN"/>
        </w:rPr>
      </w:pPr>
    </w:p>
    <w:p w14:paraId="4011BE55">
      <w:pPr>
        <w:bidi w:val="0"/>
        <w:rPr>
          <w:rFonts w:hint="eastAsia"/>
          <w:lang w:eastAsia="zh-CN"/>
        </w:rPr>
      </w:pPr>
    </w:p>
    <w:p w14:paraId="76B763C4">
      <w:pPr>
        <w:rPr>
          <w:rFonts w:hint="eastAsia"/>
          <w:lang w:eastAsia="zh-CN"/>
        </w:rPr>
      </w:pPr>
    </w:p>
    <w:p w14:paraId="1FD87095">
      <w:pPr>
        <w:rPr>
          <w:rFonts w:hint="eastAsia"/>
        </w:rPr>
      </w:pPr>
    </w:p>
    <w:p w14:paraId="52EE879E">
      <w:pPr>
        <w:keepNext w:val="0"/>
        <w:keepLines w:val="0"/>
        <w:pageBreakBefore w:val="0"/>
        <w:widowControl/>
        <w:kinsoku/>
        <w:wordWrap/>
        <w:overflowPunct/>
        <w:topLinePunct w:val="0"/>
        <w:autoSpaceDE/>
        <w:autoSpaceDN/>
        <w:bidi w:val="0"/>
        <w:adjustRightInd/>
        <w:spacing w:beforeLines="50" w:afterLines="50" w:line="500" w:lineRule="exact"/>
        <w:ind w:right="0" w:rightChars="0"/>
        <w:jc w:val="center"/>
        <w:textAlignment w:val="auto"/>
        <w:outlineLvl w:val="9"/>
        <w:rPr>
          <w:rFonts w:hint="eastAsia" w:ascii="Times New Roman" w:hAnsi="Times New Roman" w:eastAsia="宋体" w:cs="Times New Roman"/>
          <w:b/>
          <w:color w:val="auto"/>
          <w:sz w:val="21"/>
          <w:szCs w:val="21"/>
          <w:lang w:eastAsia="zh-CN"/>
        </w:rPr>
      </w:pPr>
    </w:p>
    <w:p w14:paraId="25E21D21">
      <w:pPr>
        <w:pStyle w:val="5"/>
        <w:rPr>
          <w:rFonts w:hint="eastAsia"/>
          <w:lang w:eastAsia="zh-CN"/>
        </w:rPr>
      </w:pPr>
    </w:p>
    <w:p w14:paraId="545A0A37">
      <w:pPr>
        <w:bidi w:val="0"/>
        <w:rPr>
          <w:rFonts w:hint="default"/>
        </w:rPr>
      </w:pPr>
    </w:p>
    <w:p w14:paraId="2DCFD082">
      <w:pPr>
        <w:bidi w:val="0"/>
        <w:rPr>
          <w:rFonts w:hint="eastAsia"/>
          <w:lang w:eastAsia="zh-CN"/>
        </w:rPr>
      </w:pPr>
      <w:bookmarkStart w:id="0" w:name="_Toc5150"/>
    </w:p>
    <w:p w14:paraId="1AF20AD5">
      <w:pPr>
        <w:pStyle w:val="2"/>
        <w:numPr>
          <w:ilvl w:val="0"/>
          <w:numId w:val="0"/>
        </w:numPr>
        <w:tabs>
          <w:tab w:val="clear" w:pos="324"/>
        </w:tabs>
        <w:ind w:leftChars="0"/>
        <w:jc w:val="center"/>
        <w:rPr>
          <w:rFonts w:hint="eastAsia" w:ascii="宋体" w:hAnsi="宋体" w:eastAsia="宋体" w:cs="宋体"/>
          <w:b/>
          <w:bCs/>
          <w:color w:val="auto"/>
          <w:sz w:val="36"/>
          <w:szCs w:val="36"/>
          <w:highlight w:val="none"/>
          <w:lang w:eastAsia="zh-CN"/>
        </w:rPr>
      </w:pPr>
    </w:p>
    <w:p w14:paraId="1F8BEE99">
      <w:pPr>
        <w:pStyle w:val="2"/>
        <w:numPr>
          <w:ilvl w:val="0"/>
          <w:numId w:val="0"/>
        </w:numPr>
        <w:tabs>
          <w:tab w:val="clear" w:pos="324"/>
        </w:tabs>
        <w:ind w:leftChars="0"/>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第五章</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合同条款</w:t>
      </w:r>
      <w:bookmarkEnd w:id="0"/>
    </w:p>
    <w:p w14:paraId="67BA914E">
      <w:pPr>
        <w:bidi w:val="0"/>
        <w:rPr>
          <w:rFonts w:hint="default"/>
        </w:rPr>
      </w:pPr>
    </w:p>
    <w:p w14:paraId="3A38EC58">
      <w:pPr>
        <w:bidi w:val="0"/>
        <w:rPr>
          <w:rFonts w:hint="default"/>
        </w:rPr>
      </w:pPr>
    </w:p>
    <w:p w14:paraId="2E6F0312">
      <w:pPr>
        <w:bidi w:val="0"/>
        <w:rPr>
          <w:rFonts w:hint="default"/>
        </w:rPr>
      </w:pPr>
    </w:p>
    <w:p w14:paraId="7391E926">
      <w:pPr>
        <w:bidi w:val="0"/>
        <w:rPr>
          <w:rFonts w:hint="default"/>
        </w:rPr>
      </w:pPr>
    </w:p>
    <w:p w14:paraId="02A8367E">
      <w:pPr>
        <w:bidi w:val="0"/>
        <w:rPr>
          <w:rFonts w:hint="default"/>
        </w:rPr>
      </w:pPr>
    </w:p>
    <w:p w14:paraId="1B8778C3">
      <w:pPr>
        <w:bidi w:val="0"/>
        <w:rPr>
          <w:rFonts w:hint="default"/>
        </w:rPr>
      </w:pPr>
    </w:p>
    <w:p w14:paraId="30E5CF60">
      <w:pPr>
        <w:bidi w:val="0"/>
        <w:rPr>
          <w:rFonts w:hint="default"/>
        </w:rPr>
      </w:pPr>
    </w:p>
    <w:p w14:paraId="035AC66C">
      <w:pPr>
        <w:bidi w:val="0"/>
        <w:rPr>
          <w:rFonts w:hint="default"/>
        </w:rPr>
      </w:pPr>
    </w:p>
    <w:p w14:paraId="69960844">
      <w:pPr>
        <w:bidi w:val="0"/>
        <w:rPr>
          <w:rFonts w:hint="default"/>
        </w:rPr>
      </w:pPr>
    </w:p>
    <w:p w14:paraId="120C7886">
      <w:pPr>
        <w:bidi w:val="0"/>
        <w:rPr>
          <w:rFonts w:hint="default"/>
        </w:rPr>
      </w:pPr>
    </w:p>
    <w:p w14:paraId="2404A722">
      <w:pPr>
        <w:bidi w:val="0"/>
        <w:rPr>
          <w:rFonts w:hint="default"/>
        </w:rPr>
      </w:pPr>
    </w:p>
    <w:p w14:paraId="5700A972">
      <w:pPr>
        <w:bidi w:val="0"/>
        <w:rPr>
          <w:rFonts w:hint="default"/>
        </w:rPr>
      </w:pPr>
    </w:p>
    <w:p w14:paraId="3F89604C">
      <w:pPr>
        <w:bidi w:val="0"/>
        <w:rPr>
          <w:rFonts w:hint="default"/>
        </w:rPr>
      </w:pPr>
    </w:p>
    <w:p w14:paraId="0A3B1561">
      <w:pPr>
        <w:bidi w:val="0"/>
        <w:rPr>
          <w:rFonts w:hint="default"/>
        </w:rPr>
      </w:pPr>
    </w:p>
    <w:p w14:paraId="63014077">
      <w:pPr>
        <w:bidi w:val="0"/>
        <w:rPr>
          <w:rFonts w:hint="default"/>
        </w:rPr>
      </w:pPr>
    </w:p>
    <w:p w14:paraId="3222A1BB">
      <w:pPr>
        <w:bidi w:val="0"/>
        <w:rPr>
          <w:rFonts w:hint="default"/>
        </w:rPr>
      </w:pPr>
    </w:p>
    <w:p w14:paraId="61123C11">
      <w:pPr>
        <w:bidi w:val="0"/>
        <w:rPr>
          <w:rFonts w:hint="default"/>
        </w:rPr>
      </w:pPr>
    </w:p>
    <w:p w14:paraId="14312C28">
      <w:pPr>
        <w:bidi w:val="0"/>
        <w:rPr>
          <w:rFonts w:hint="default"/>
        </w:rPr>
      </w:pPr>
    </w:p>
    <w:p w14:paraId="3268CFF0">
      <w:pPr>
        <w:bidi w:val="0"/>
        <w:rPr>
          <w:rFonts w:hint="default"/>
        </w:rPr>
      </w:pPr>
    </w:p>
    <w:p w14:paraId="05F085DD">
      <w:pPr>
        <w:bidi w:val="0"/>
        <w:rPr>
          <w:rFonts w:hint="default"/>
        </w:rPr>
      </w:pPr>
    </w:p>
    <w:p w14:paraId="5E6DF542">
      <w:pPr>
        <w:bidi w:val="0"/>
        <w:rPr>
          <w:rFonts w:hint="default"/>
        </w:rPr>
      </w:pPr>
    </w:p>
    <w:p w14:paraId="07A48388">
      <w:pPr>
        <w:bidi w:val="0"/>
        <w:rPr>
          <w:rFonts w:hint="default"/>
        </w:rPr>
      </w:pPr>
    </w:p>
    <w:p w14:paraId="5D736BAC">
      <w:pPr>
        <w:bidi w:val="0"/>
        <w:rPr>
          <w:rFonts w:hint="default"/>
        </w:rPr>
      </w:pPr>
    </w:p>
    <w:p w14:paraId="5F6ED737">
      <w:pPr>
        <w:bidi w:val="0"/>
        <w:rPr>
          <w:rFonts w:hint="default"/>
        </w:rPr>
      </w:pPr>
    </w:p>
    <w:p w14:paraId="3A9F4AC8">
      <w:pPr>
        <w:bidi w:val="0"/>
        <w:rPr>
          <w:rFonts w:hint="default"/>
        </w:rPr>
      </w:pPr>
    </w:p>
    <w:p w14:paraId="23B57767">
      <w:pPr>
        <w:spacing w:line="360" w:lineRule="auto"/>
        <w:jc w:val="both"/>
        <w:rPr>
          <w:rFonts w:hint="eastAsia" w:ascii="宋体" w:hAnsi="宋体"/>
          <w:b/>
          <w:sz w:val="28"/>
          <w:szCs w:val="28"/>
        </w:rPr>
      </w:pPr>
    </w:p>
    <w:p w14:paraId="02B53FF3">
      <w:pPr>
        <w:bidi w:val="0"/>
        <w:rPr>
          <w:rFonts w:hint="eastAsia"/>
        </w:rPr>
      </w:pPr>
    </w:p>
    <w:p w14:paraId="35372928">
      <w:pPr>
        <w:rPr>
          <w:rFonts w:hint="eastAsia"/>
        </w:rPr>
      </w:pPr>
      <w:r>
        <w:rPr>
          <w:rFonts w:hint="eastAsia"/>
        </w:rPr>
        <w:br w:type="page"/>
      </w:r>
    </w:p>
    <w:p w14:paraId="00FCB248">
      <w:pPr>
        <w:rPr>
          <w:rFonts w:hint="eastAsia"/>
        </w:rPr>
        <w:sectPr>
          <w:footerReference r:id="rId3" w:type="default"/>
          <w:footnotePr>
            <w:numFmt w:val="decimalEnclosedCircleChinese"/>
            <w:numRestart w:val="eachPage"/>
          </w:footnotePr>
          <w:pgSz w:w="11907" w:h="16840"/>
          <w:pgMar w:top="1440" w:right="1361" w:bottom="1440" w:left="1161" w:header="720" w:footer="850" w:gutter="0"/>
          <w:pgBorders>
            <w:top w:val="none" w:sz="0" w:space="0"/>
            <w:left w:val="none" w:sz="0" w:space="0"/>
            <w:bottom w:val="none" w:sz="0" w:space="0"/>
            <w:right w:val="none" w:sz="0" w:space="0"/>
          </w:pgBorders>
          <w:pgNumType w:fmt="decimal"/>
          <w:cols w:space="0" w:num="1"/>
          <w:rtlGutter w:val="0"/>
          <w:docGrid w:linePitch="0" w:charSpace="0"/>
        </w:sectPr>
      </w:pPr>
    </w:p>
    <w:p w14:paraId="7F1C1CA1">
      <w:pPr>
        <w:spacing w:line="360" w:lineRule="auto"/>
        <w:jc w:val="center"/>
        <w:rPr>
          <w:rFonts w:hint="default" w:ascii="宋体" w:hAnsi="宋体" w:eastAsia="宋体" w:cs="宋体"/>
          <w:b/>
          <w:bCs/>
          <w:sz w:val="28"/>
          <w:szCs w:val="28"/>
          <w:lang w:val="en-US" w:eastAsia="zh-CN"/>
        </w:rPr>
      </w:pPr>
      <w:r>
        <w:rPr>
          <w:rFonts w:hint="eastAsia"/>
          <w:b/>
          <w:bCs/>
          <w:sz w:val="52"/>
          <w:szCs w:val="52"/>
          <w:lang w:val="en-US" w:eastAsia="zh-CN"/>
        </w:rPr>
        <w:t xml:space="preserve">                        </w:t>
      </w:r>
      <w:r>
        <w:rPr>
          <w:rFonts w:hint="eastAsia"/>
          <w:b/>
          <w:bCs/>
          <w:sz w:val="28"/>
          <w:szCs w:val="28"/>
          <w:lang w:val="en-US" w:eastAsia="zh-CN"/>
        </w:rPr>
        <w:t>合同编号：</w:t>
      </w:r>
    </w:p>
    <w:p w14:paraId="7851156B">
      <w:pPr>
        <w:spacing w:line="360" w:lineRule="auto"/>
        <w:jc w:val="center"/>
        <w:rPr>
          <w:rFonts w:hint="eastAsia"/>
          <w:b/>
          <w:bCs/>
          <w:sz w:val="52"/>
          <w:szCs w:val="52"/>
          <w:lang w:val="en-US" w:eastAsia="zh-CN"/>
        </w:rPr>
      </w:pPr>
    </w:p>
    <w:p w14:paraId="38A4EFDE">
      <w:pPr>
        <w:spacing w:line="360" w:lineRule="auto"/>
        <w:jc w:val="center"/>
        <w:rPr>
          <w:rFonts w:hint="default"/>
          <w:b/>
          <w:bCs/>
          <w:sz w:val="52"/>
          <w:szCs w:val="52"/>
          <w:lang w:val="en-US" w:eastAsia="zh-CN"/>
        </w:rPr>
      </w:pPr>
      <w:r>
        <w:rPr>
          <w:rFonts w:hint="eastAsia"/>
          <w:b/>
          <w:bCs/>
          <w:sz w:val="52"/>
          <w:szCs w:val="52"/>
          <w:lang w:val="en-US" w:eastAsia="zh-CN"/>
        </w:rPr>
        <w:t>HK2-1-55-4号及HK3-1-43号宗地考古发掘劳务服务项目合同</w:t>
      </w:r>
    </w:p>
    <w:p w14:paraId="20BDFF69">
      <w:pPr>
        <w:jc w:val="center"/>
        <w:rPr>
          <w:rFonts w:hint="eastAsia"/>
          <w:b/>
          <w:bCs/>
          <w:sz w:val="52"/>
          <w:szCs w:val="52"/>
          <w:lang w:val="en-US" w:eastAsia="zh-CN"/>
        </w:rPr>
      </w:pPr>
    </w:p>
    <w:p w14:paraId="3A86183B">
      <w:pPr>
        <w:pStyle w:val="7"/>
        <w:jc w:val="center"/>
        <w:rPr>
          <w:rFonts w:hint="eastAsia"/>
          <w:b/>
          <w:bCs/>
          <w:sz w:val="52"/>
          <w:szCs w:val="52"/>
          <w:lang w:val="en-US" w:eastAsia="zh-CN"/>
        </w:rPr>
      </w:pPr>
      <w:r>
        <w:rPr>
          <w:rFonts w:hint="eastAsia" w:ascii="华文中宋" w:hAnsi="华文中宋" w:eastAsia="华文中宋"/>
          <w:b/>
          <w:color w:val="auto"/>
          <w:sz w:val="48"/>
          <w:szCs w:val="48"/>
          <w:highlight w:val="none"/>
          <w:lang w:val="en-US" w:eastAsia="zh-CN"/>
        </w:rPr>
        <w:t>第</w:t>
      </w:r>
      <w:r>
        <w:rPr>
          <w:rFonts w:hint="eastAsia" w:ascii="宋体" w:hAnsi="宋体" w:eastAsia="宋体" w:cs="宋体"/>
          <w:b/>
          <w:color w:val="auto"/>
          <w:sz w:val="48"/>
          <w:szCs w:val="48"/>
          <w:highlight w:val="none"/>
          <w:lang w:val="en-US" w:eastAsia="zh-CN"/>
        </w:rPr>
        <w:t>（   ）</w:t>
      </w:r>
      <w:r>
        <w:rPr>
          <w:rFonts w:hint="eastAsia" w:ascii="华文中宋" w:hAnsi="华文中宋" w:eastAsia="华文中宋"/>
          <w:b/>
          <w:color w:val="auto"/>
          <w:sz w:val="48"/>
          <w:szCs w:val="48"/>
          <w:highlight w:val="none"/>
          <w:lang w:val="en-US" w:eastAsia="zh-CN"/>
        </w:rPr>
        <w:t>包</w:t>
      </w:r>
    </w:p>
    <w:p w14:paraId="69352B67">
      <w:pPr>
        <w:jc w:val="both"/>
        <w:rPr>
          <w:rFonts w:hint="eastAsia"/>
          <w:b/>
          <w:bCs/>
          <w:sz w:val="52"/>
          <w:szCs w:val="52"/>
          <w:lang w:val="en-US" w:eastAsia="zh-CN"/>
        </w:rPr>
      </w:pPr>
    </w:p>
    <w:p w14:paraId="43985EE6">
      <w:pPr>
        <w:jc w:val="both"/>
        <w:rPr>
          <w:rFonts w:hint="eastAsia"/>
          <w:b/>
          <w:bCs/>
          <w:sz w:val="52"/>
          <w:szCs w:val="52"/>
          <w:lang w:val="en-US" w:eastAsia="zh-CN"/>
        </w:rPr>
      </w:pPr>
    </w:p>
    <w:p w14:paraId="53697313">
      <w:pPr>
        <w:spacing w:line="480" w:lineRule="auto"/>
        <w:jc w:val="both"/>
        <w:rPr>
          <w:rFonts w:hint="eastAsia"/>
          <w:b/>
          <w:bCs/>
          <w:sz w:val="52"/>
          <w:szCs w:val="52"/>
          <w:lang w:val="en-US" w:eastAsia="zh-CN"/>
        </w:rPr>
      </w:pPr>
    </w:p>
    <w:p w14:paraId="41063F78">
      <w:pPr>
        <w:spacing w:line="480" w:lineRule="auto"/>
        <w:jc w:val="both"/>
        <w:rPr>
          <w:rFonts w:hint="eastAsia"/>
          <w:b/>
          <w:bCs/>
          <w:sz w:val="52"/>
          <w:szCs w:val="52"/>
          <w:lang w:val="en-US" w:eastAsia="zh-CN"/>
        </w:rPr>
      </w:pPr>
    </w:p>
    <w:p w14:paraId="115C0ABC">
      <w:pPr>
        <w:spacing w:line="480" w:lineRule="auto"/>
        <w:jc w:val="both"/>
        <w:rPr>
          <w:rFonts w:hint="eastAsia"/>
          <w:b/>
          <w:bCs/>
          <w:sz w:val="52"/>
          <w:szCs w:val="52"/>
          <w:lang w:val="en-US" w:eastAsia="zh-CN"/>
        </w:rPr>
      </w:pPr>
    </w:p>
    <w:p w14:paraId="2CF4BF73">
      <w:pPr>
        <w:keepNext w:val="0"/>
        <w:keepLines w:val="0"/>
        <w:pageBreakBefore w:val="0"/>
        <w:widowControl w:val="0"/>
        <w:kinsoku/>
        <w:wordWrap/>
        <w:overflowPunct/>
        <w:topLinePunct w:val="0"/>
        <w:autoSpaceDE/>
        <w:autoSpaceDN/>
        <w:bidi w:val="0"/>
        <w:adjustRightInd/>
        <w:snapToGrid/>
        <w:spacing w:line="480" w:lineRule="auto"/>
        <w:ind w:firstLine="3012" w:firstLineChars="1000"/>
        <w:jc w:val="both"/>
        <w:textAlignment w:val="auto"/>
        <w:rPr>
          <w:rFonts w:hint="eastAsia" w:ascii="宋体" w:hAnsi="宋体" w:eastAsia="宋体" w:cs="宋体"/>
          <w:b/>
          <w:bCs/>
          <w:sz w:val="30"/>
          <w:highlight w:val="none"/>
        </w:rPr>
      </w:pPr>
    </w:p>
    <w:p w14:paraId="28161185">
      <w:pPr>
        <w:keepNext w:val="0"/>
        <w:keepLines w:val="0"/>
        <w:pageBreakBefore w:val="0"/>
        <w:widowControl w:val="0"/>
        <w:kinsoku/>
        <w:wordWrap/>
        <w:overflowPunct/>
        <w:topLinePunct w:val="0"/>
        <w:autoSpaceDE/>
        <w:autoSpaceDN/>
        <w:bidi w:val="0"/>
        <w:adjustRightInd/>
        <w:snapToGrid/>
        <w:spacing w:line="480" w:lineRule="auto"/>
        <w:ind w:firstLine="3012" w:firstLineChars="1000"/>
        <w:jc w:val="both"/>
        <w:textAlignment w:val="auto"/>
        <w:rPr>
          <w:rFonts w:hint="eastAsia" w:ascii="宋体" w:hAnsi="宋体" w:eastAsia="宋体" w:cs="宋体"/>
          <w:b/>
          <w:bCs/>
          <w:sz w:val="30"/>
          <w:highlight w:val="none"/>
          <w:lang w:eastAsia="zh-CN"/>
        </w:rPr>
      </w:pPr>
      <w:r>
        <w:rPr>
          <w:rFonts w:hint="eastAsia" w:ascii="宋体" w:hAnsi="宋体" w:eastAsia="宋体" w:cs="宋体"/>
          <w:b/>
          <w:bCs/>
          <w:sz w:val="30"/>
          <w:highlight w:val="none"/>
        </w:rPr>
        <w:t>甲方：</w:t>
      </w:r>
    </w:p>
    <w:p w14:paraId="14ECE4AC">
      <w:pPr>
        <w:keepNext w:val="0"/>
        <w:keepLines w:val="0"/>
        <w:pageBreakBefore w:val="0"/>
        <w:widowControl w:val="0"/>
        <w:kinsoku/>
        <w:wordWrap/>
        <w:overflowPunct/>
        <w:topLinePunct w:val="0"/>
        <w:autoSpaceDE/>
        <w:autoSpaceDN/>
        <w:bidi w:val="0"/>
        <w:adjustRightInd/>
        <w:snapToGrid/>
        <w:spacing w:line="480" w:lineRule="auto"/>
        <w:ind w:firstLine="3012" w:firstLineChars="1000"/>
        <w:textAlignment w:val="auto"/>
        <w:rPr>
          <w:rFonts w:hint="default" w:ascii="宋体" w:hAnsi="宋体" w:eastAsia="宋体" w:cs="宋体"/>
          <w:b/>
          <w:bCs/>
          <w:sz w:val="30"/>
          <w:highlight w:val="none"/>
          <w:lang w:val="en-US" w:eastAsia="zh-CN"/>
        </w:rPr>
      </w:pPr>
      <w:r>
        <w:rPr>
          <w:rFonts w:hint="eastAsia" w:ascii="宋体" w:hAnsi="宋体" w:eastAsia="宋体" w:cs="宋体"/>
          <w:b/>
          <w:bCs/>
          <w:sz w:val="30"/>
          <w:highlight w:val="none"/>
        </w:rPr>
        <w:t>乙方：</w:t>
      </w:r>
      <w:r>
        <w:rPr>
          <w:rFonts w:hint="eastAsia" w:ascii="宋体" w:hAnsi="宋体" w:cs="宋体"/>
          <w:b/>
          <w:bCs/>
          <w:sz w:val="30"/>
          <w:highlight w:val="none"/>
          <w:lang w:val="en-US" w:eastAsia="zh-CN"/>
        </w:rPr>
        <w:t xml:space="preserve">  </w:t>
      </w:r>
      <w:r>
        <w:rPr>
          <w:rFonts w:hint="eastAsia" w:ascii="宋体" w:hAnsi="宋体" w:eastAsia="宋体" w:cs="宋体"/>
          <w:b/>
          <w:bCs/>
          <w:sz w:val="30"/>
          <w:highlight w:val="none"/>
          <w:lang w:val="en-US" w:eastAsia="zh-CN"/>
        </w:rPr>
        <w:t xml:space="preserve">                  </w:t>
      </w:r>
    </w:p>
    <w:p w14:paraId="58B66B3E">
      <w:pPr>
        <w:keepNext w:val="0"/>
        <w:keepLines w:val="0"/>
        <w:pageBreakBefore w:val="0"/>
        <w:widowControl w:val="0"/>
        <w:kinsoku/>
        <w:wordWrap/>
        <w:overflowPunct/>
        <w:topLinePunct w:val="0"/>
        <w:autoSpaceDE/>
        <w:autoSpaceDN/>
        <w:bidi w:val="0"/>
        <w:adjustRightInd/>
        <w:snapToGrid/>
        <w:spacing w:line="480" w:lineRule="auto"/>
        <w:ind w:firstLine="3012" w:firstLineChars="1000"/>
        <w:textAlignment w:val="auto"/>
        <w:rPr>
          <w:rFonts w:ascii="宋体"/>
          <w:b/>
          <w:bCs/>
          <w:kern w:val="0"/>
          <w:sz w:val="32"/>
          <w:szCs w:val="32"/>
          <w:highlight w:val="none"/>
        </w:rPr>
      </w:pPr>
      <w:r>
        <w:rPr>
          <w:rFonts w:hint="eastAsia" w:ascii="宋体" w:hAnsi="宋体" w:eastAsia="宋体" w:cs="宋体"/>
          <w:b/>
          <w:bCs/>
          <w:sz w:val="30"/>
          <w:highlight w:val="none"/>
        </w:rPr>
        <w:t>日期：    年     月   日</w:t>
      </w:r>
    </w:p>
    <w:p w14:paraId="40E91A2D">
      <w:pPr>
        <w:spacing w:line="480" w:lineRule="auto"/>
        <w:jc w:val="both"/>
        <w:rPr>
          <w:rFonts w:hint="eastAsia" w:asciiTheme="minorEastAsia" w:hAnsiTheme="minorEastAsia" w:eastAsiaTheme="minorEastAsia" w:cstheme="minorEastAsia"/>
          <w:b/>
          <w:bCs/>
          <w:sz w:val="28"/>
          <w:szCs w:val="28"/>
          <w:lang w:val="en-US" w:eastAsia="zh-CN"/>
        </w:rPr>
        <w:sectPr>
          <w:footnotePr>
            <w:numFmt w:val="decimalEnclosedCircleChinese"/>
            <w:numRestart w:val="eachPage"/>
          </w:footnotePr>
          <w:pgSz w:w="11907" w:h="16840"/>
          <w:pgMar w:top="1440" w:right="1361" w:bottom="1440" w:left="1161" w:header="720" w:footer="850" w:gutter="0"/>
          <w:pgBorders>
            <w:top w:val="none" w:sz="0" w:space="0"/>
            <w:left w:val="none" w:sz="0" w:space="0"/>
            <w:bottom w:val="none" w:sz="0" w:space="0"/>
            <w:right w:val="none" w:sz="0" w:space="0"/>
          </w:pgBorders>
          <w:pgNumType w:fmt="decimal"/>
          <w:cols w:space="0" w:num="1"/>
          <w:rtlGutter w:val="0"/>
          <w:docGrid w:linePitch="0" w:charSpace="0"/>
        </w:sectPr>
      </w:pPr>
    </w:p>
    <w:p w14:paraId="3AA70F74">
      <w:pPr>
        <w:spacing w:line="360" w:lineRule="auto"/>
        <w:jc w:val="center"/>
        <w:rPr>
          <w:rFonts w:ascii="宋体" w:hAnsi="宋体"/>
          <w:sz w:val="28"/>
          <w:szCs w:val="28"/>
        </w:rPr>
      </w:pPr>
      <w:r>
        <w:rPr>
          <w:rFonts w:hint="eastAsia" w:ascii="宋体" w:hAnsi="宋体"/>
          <w:b/>
          <w:sz w:val="28"/>
          <w:szCs w:val="28"/>
        </w:rPr>
        <w:t>配合基本建设考古发掘服务协议书</w:t>
      </w:r>
    </w:p>
    <w:p w14:paraId="1BE572A8">
      <w:pPr>
        <w:keepNext w:val="0"/>
        <w:keepLines w:val="0"/>
        <w:pageBreakBefore w:val="0"/>
        <w:widowControl w:val="0"/>
        <w:kinsoku/>
        <w:wordWrap/>
        <w:overflowPunct/>
        <w:topLinePunct w:val="0"/>
        <w:autoSpaceDE w:val="0"/>
        <w:autoSpaceDN w:val="0"/>
        <w:bidi w:val="0"/>
        <w:adjustRightInd w:val="0"/>
        <w:snapToGrid w:val="0"/>
        <w:spacing w:line="500" w:lineRule="exact"/>
        <w:ind w:firstLine="3173" w:firstLineChars="1505"/>
        <w:jc w:val="both"/>
        <w:textAlignment w:val="auto"/>
        <w:outlineLvl w:val="1"/>
        <w:rPr>
          <w:rFonts w:hint="eastAsia" w:ascii="宋体" w:hAnsi="宋体" w:eastAsia="宋体" w:cs="宋体"/>
          <w:b/>
          <w:color w:val="auto"/>
          <w:sz w:val="21"/>
          <w:szCs w:val="21"/>
          <w:highlight w:val="none"/>
          <w:lang w:val="zh-CN"/>
        </w:rPr>
      </w:pPr>
      <w:bookmarkStart w:id="1" w:name="_Toc18824"/>
      <w:bookmarkStart w:id="2" w:name="_Toc19023"/>
      <w:r>
        <w:rPr>
          <w:rFonts w:hint="eastAsia" w:ascii="宋体" w:hAnsi="宋体" w:eastAsia="宋体" w:cs="宋体"/>
          <w:b/>
          <w:color w:val="auto"/>
          <w:sz w:val="21"/>
          <w:szCs w:val="21"/>
          <w:highlight w:val="none"/>
          <w:lang w:val="zh-CN"/>
        </w:rPr>
        <w:t>（此合同作为参考）</w:t>
      </w:r>
      <w:bookmarkEnd w:id="1"/>
      <w:bookmarkEnd w:id="2"/>
    </w:p>
    <w:p w14:paraId="37F41DD2">
      <w:pPr>
        <w:bidi w:val="0"/>
        <w:rPr>
          <w:rFonts w:hint="eastAsia"/>
        </w:rPr>
      </w:pPr>
    </w:p>
    <w:p w14:paraId="535CDDE4">
      <w:pPr>
        <w:keepNext w:val="0"/>
        <w:keepLines w:val="0"/>
        <w:pageBreakBefore w:val="0"/>
        <w:widowControl w:val="0"/>
        <w:kinsoku/>
        <w:wordWrap/>
        <w:overflowPunct/>
        <w:topLinePunct w:val="0"/>
        <w:bidi w:val="0"/>
        <w:snapToGrid/>
        <w:spacing w:line="500" w:lineRule="exact"/>
        <w:textAlignment w:val="auto"/>
        <w:rPr>
          <w:rFonts w:hint="eastAsia" w:ascii="宋体" w:hAnsi="宋体" w:eastAsia="宋体" w:cs="宋体"/>
          <w:b/>
          <w:bCs/>
          <w:szCs w:val="21"/>
          <w:u w:val="single"/>
          <w:lang w:eastAsia="zh-CN"/>
        </w:rPr>
      </w:pPr>
      <w:r>
        <w:rPr>
          <w:rFonts w:hint="eastAsia" w:ascii="宋体" w:hAnsi="宋体" w:cs="宋体"/>
          <w:b/>
          <w:szCs w:val="21"/>
        </w:rPr>
        <w:t>甲方（发包方）：</w:t>
      </w:r>
      <w:r>
        <w:rPr>
          <w:rFonts w:hint="eastAsia" w:ascii="宋体" w:hAnsi="宋体" w:cs="宋体"/>
          <w:b/>
          <w:szCs w:val="21"/>
          <w:u w:val="single"/>
        </w:rPr>
        <w:t>西安阎良国家航空高技术产业基地管理委员会</w:t>
      </w:r>
    </w:p>
    <w:p w14:paraId="0BB5D3CD">
      <w:pPr>
        <w:keepNext w:val="0"/>
        <w:keepLines w:val="0"/>
        <w:pageBreakBefore w:val="0"/>
        <w:widowControl w:val="0"/>
        <w:kinsoku/>
        <w:wordWrap/>
        <w:overflowPunct/>
        <w:topLinePunct w:val="0"/>
        <w:bidi w:val="0"/>
        <w:spacing w:line="500" w:lineRule="exact"/>
        <w:textAlignment w:val="auto"/>
        <w:rPr>
          <w:rFonts w:hint="eastAsia" w:ascii="宋体" w:hAnsi="宋体" w:cs="宋体"/>
          <w:b/>
          <w:szCs w:val="21"/>
          <w:u w:val="single"/>
          <w:lang w:val="en-US" w:eastAsia="zh-CN"/>
        </w:rPr>
      </w:pPr>
      <w:r>
        <w:rPr>
          <w:rFonts w:hint="eastAsia" w:ascii="宋体" w:hAnsi="宋体" w:cs="宋体"/>
          <w:b/>
          <w:szCs w:val="21"/>
        </w:rPr>
        <w:t>乙方（承包方）：</w:t>
      </w:r>
      <w:r>
        <w:rPr>
          <w:rFonts w:hint="eastAsia" w:ascii="宋体" w:hAnsi="宋体" w:cs="宋体"/>
          <w:b/>
          <w:szCs w:val="21"/>
          <w:u w:val="single"/>
        </w:rPr>
        <w:t xml:space="preserve">                                  </w:t>
      </w:r>
      <w:r>
        <w:rPr>
          <w:rFonts w:hint="eastAsia" w:ascii="宋体" w:hAnsi="宋体" w:cs="宋体"/>
          <w:b/>
          <w:szCs w:val="21"/>
          <w:u w:val="single"/>
          <w:lang w:val="en-US" w:eastAsia="zh-CN"/>
        </w:rPr>
        <w:t xml:space="preserve">      </w:t>
      </w:r>
    </w:p>
    <w:p w14:paraId="4F4C7BA5">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根据《中华人民共和国文物保护法》、《陕西省文物保护条例》、《西安市不可移动文物保护条例》，甲方将</w:t>
      </w:r>
      <w:r>
        <w:rPr>
          <w:rFonts w:hint="eastAsia" w:ascii="宋体" w:hAnsi="宋体" w:cs="宋体"/>
          <w:color w:val="auto"/>
          <w:sz w:val="21"/>
          <w:szCs w:val="21"/>
          <w:u w:val="single"/>
          <w:lang w:val="en-US" w:eastAsia="zh-CN"/>
        </w:rPr>
        <w:t>HK2-1-55-4号及HK3-1-43号宗地考古发掘劳务服务</w:t>
      </w:r>
      <w:r>
        <w:rPr>
          <w:rFonts w:hint="eastAsia" w:ascii="宋体" w:hAnsi="宋体" w:cs="宋体"/>
          <w:color w:val="auto"/>
          <w:sz w:val="21"/>
          <w:szCs w:val="21"/>
          <w:u w:val="none"/>
          <w:lang w:val="en-US" w:eastAsia="zh-CN"/>
        </w:rPr>
        <w:t>项目</w:t>
      </w:r>
      <w:r>
        <w:rPr>
          <w:rFonts w:hint="eastAsia" w:ascii="宋体" w:hAnsi="宋体" w:eastAsia="宋体" w:cs="宋体"/>
          <w:color w:val="auto"/>
          <w:sz w:val="21"/>
          <w:szCs w:val="21"/>
        </w:rPr>
        <w:t>委托乙方承担。经双方充分协商，签订协议如下：</w:t>
      </w:r>
    </w:p>
    <w:p w14:paraId="27BB8F8C">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一、甲方责任</w:t>
      </w:r>
    </w:p>
    <w:p w14:paraId="3164857E">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1.考古发掘人工土方工作进行前，甲方应与当地相关部门积极协调，排除可能干扰乙方工作的各种人为因素，以保证考古发掘人工土方工作的顺利进行。</w:t>
      </w:r>
    </w:p>
    <w:p w14:paraId="533C3194">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2.甲方有义务提供水、电及其它相关帮助，有权对乙方工作进行监督，并提出相关建议。</w:t>
      </w:r>
    </w:p>
    <w:p w14:paraId="6A17B7AF">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二、乙方责任</w:t>
      </w:r>
    </w:p>
    <w:p w14:paraId="35AEC5F6">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乙方承担考古发掘所需的民工劳务外包、支护加固等项目。乙方应根据现场考古发掘的需要配备足够的民工，并派出专人进行管理，对发掘中可能存在安全隐患的部位进行支护、加固，确保施工过程中的人身安全。现场荒草植被清除及治污减霾（裸露黄土绿网覆盖）等工作，由乙方负责。考古发掘结束后，土方回填工作由乙方负责。</w:t>
      </w:r>
    </w:p>
    <w:p w14:paraId="4344A28F">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在考古发掘开工前应对民工、支护人员等所有乙方参与本项目的人员进行文物安全警示教育。乙方所有工作人员的人身安全以及所有设备、设施的财产安全由乙方负责。同时，乙方应协助发掘单位做好现场安全保卫工作。</w:t>
      </w:r>
    </w:p>
    <w:p w14:paraId="492F5FCB">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3.乙方所有工作人员必须听从发掘单位现场负责人员的指挥，如因乙方施工人员不听指挥或自身不慎等原因造成的安全事故由乙方负责并承担相关法律责任。</w:t>
      </w:r>
    </w:p>
    <w:p w14:paraId="7FEC6FDD">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4.乙方必须按照国家文物局颁布的《田野考古工作规程》进行施工，科学安排，精确记录，确保考古发掘人工土方工程质量。</w:t>
      </w:r>
    </w:p>
    <w:p w14:paraId="6FCC51A8">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5.发掘过程中，乙方应与甲方和文物发掘单位积极合作，合理安排，尽量缩短工期、降低成本，把对甲方基建工程的影响降低到最低限度。</w:t>
      </w:r>
    </w:p>
    <w:p w14:paraId="79D21B66">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三、工程时间：自进入该项目工地开始发掘至结束，共计</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天</w:t>
      </w:r>
      <w:r>
        <w:rPr>
          <w:rFonts w:hint="eastAsia" w:ascii="宋体" w:hAnsi="宋体" w:eastAsia="宋体" w:cs="宋体"/>
          <w:color w:val="auto"/>
          <w:sz w:val="21"/>
          <w:szCs w:val="21"/>
        </w:rPr>
        <w:t>。如遇不可抗拒因素，工期顺延。</w:t>
      </w:r>
    </w:p>
    <w:p w14:paraId="02A373E0">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四、费用与付款方式：</w:t>
      </w:r>
    </w:p>
    <w:p w14:paraId="6219870E">
      <w:pPr>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取费依据：根据《中华人民共和国文物保护法》及国家计委、财政部、文物局颁发的《考古调查、勘探、发掘、经费预算定额管理办法》（[90]文物字第248号）规定，结合西安地区的实际情况，制订取费标准，收取发掘费用。</w:t>
      </w:r>
    </w:p>
    <w:p w14:paraId="437F8702">
      <w:pPr>
        <w:pStyle w:val="6"/>
        <w:keepNext w:val="0"/>
        <w:keepLines w:val="0"/>
        <w:pageBreakBefore w:val="0"/>
        <w:widowControl w:val="0"/>
        <w:kinsoku/>
        <w:wordWrap/>
        <w:overflowPunct/>
        <w:topLinePunct w:val="0"/>
        <w:bidi w:val="0"/>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hAnsi="宋体" w:cs="宋体"/>
          <w:sz w:val="21"/>
          <w:szCs w:val="21"/>
        </w:rPr>
        <w:t>中标考古发掘劳务配合费用为：¥</w:t>
      </w:r>
      <w:r>
        <w:rPr>
          <w:rFonts w:hint="eastAsia" w:hAnsi="宋体" w:cs="宋体"/>
          <w:sz w:val="21"/>
          <w:szCs w:val="21"/>
          <w:u w:val="single"/>
        </w:rPr>
        <w:t xml:space="preserve">          </w:t>
      </w:r>
      <w:r>
        <w:rPr>
          <w:rFonts w:hint="eastAsia" w:hAnsi="宋体" w:cs="宋体"/>
          <w:sz w:val="21"/>
          <w:szCs w:val="21"/>
        </w:rPr>
        <w:t>（大写：</w:t>
      </w:r>
      <w:r>
        <w:rPr>
          <w:rFonts w:hint="eastAsia" w:hAnsi="宋体" w:cs="宋体"/>
          <w:sz w:val="21"/>
          <w:szCs w:val="21"/>
          <w:u w:val="single"/>
        </w:rPr>
        <w:t xml:space="preserve">          </w:t>
      </w:r>
      <w:r>
        <w:rPr>
          <w:rFonts w:hint="eastAsia" w:hAnsi="宋体" w:cs="宋体"/>
          <w:sz w:val="21"/>
          <w:szCs w:val="21"/>
        </w:rPr>
        <w:t>）</w:t>
      </w:r>
      <w:r>
        <w:rPr>
          <w:rFonts w:hint="eastAsia" w:ascii="宋体" w:hAnsi="宋体" w:eastAsia="宋体" w:cs="宋体"/>
          <w:color w:val="auto"/>
          <w:sz w:val="21"/>
          <w:szCs w:val="21"/>
        </w:rPr>
        <w:t>。</w:t>
      </w:r>
    </w:p>
    <w:p w14:paraId="4B7E370C">
      <w:pPr>
        <w:keepNext w:val="0"/>
        <w:keepLines w:val="0"/>
        <w:pageBreakBefore w:val="0"/>
        <w:widowControl w:val="0"/>
        <w:kinsoku/>
        <w:wordWrap/>
        <w:overflowPunct/>
        <w:topLinePunct w:val="0"/>
        <w:bidi w:val="0"/>
        <w:spacing w:line="500" w:lineRule="exact"/>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3.付款方式：</w:t>
      </w:r>
      <w:r>
        <w:rPr>
          <w:rFonts w:hint="eastAsia" w:ascii="宋体" w:hAnsi="宋体" w:cs="宋体"/>
          <w:szCs w:val="21"/>
          <w:highlight w:val="none"/>
        </w:rPr>
        <w:t>付款采用银行转账方式，</w:t>
      </w:r>
      <w:r>
        <w:rPr>
          <w:rFonts w:hint="eastAsia" w:ascii="宋体" w:hAnsi="宋体" w:eastAsia="宋体" w:cs="宋体"/>
          <w:b w:val="0"/>
          <w:bCs/>
          <w:sz w:val="21"/>
          <w:szCs w:val="21"/>
          <w:highlight w:val="none"/>
          <w:lang w:val="en-US" w:eastAsia="zh-CN"/>
        </w:rPr>
        <w:t>合同签订之后，待项目全部完成之后甲方支付合同总价款的100% 。甲方付款前，乙方应向甲方出具等额有效的增值税普通发票。</w:t>
      </w:r>
      <w:r>
        <w:rPr>
          <w:rFonts w:hint="eastAsia" w:ascii="宋体" w:hAnsi="宋体" w:cs="宋体"/>
          <w:szCs w:val="21"/>
          <w:highlight w:val="none"/>
        </w:rPr>
        <w:t>否则甲方有权拒绝付款并不承担违约责任。</w:t>
      </w:r>
    </w:p>
    <w:p w14:paraId="5BD0F369">
      <w:pPr>
        <w:spacing w:line="560" w:lineRule="exact"/>
        <w:ind w:firstLine="420" w:firstLineChars="200"/>
        <w:jc w:val="left"/>
        <w:rPr>
          <w:rFonts w:hint="eastAsia" w:ascii="宋体" w:hAnsi="宋体" w:eastAsia="宋体" w:cs="宋体"/>
          <w:bCs/>
          <w:color w:val="auto"/>
          <w:sz w:val="21"/>
          <w:szCs w:val="21"/>
        </w:rPr>
      </w:pPr>
      <w:r>
        <w:rPr>
          <w:rFonts w:hint="eastAsia" w:ascii="宋体" w:hAnsi="宋体" w:eastAsia="宋体" w:cs="宋体"/>
          <w:color w:val="auto"/>
          <w:sz w:val="21"/>
          <w:szCs w:val="21"/>
        </w:rPr>
        <w:t>五、</w:t>
      </w:r>
      <w:r>
        <w:rPr>
          <w:rFonts w:hint="eastAsia" w:ascii="宋体" w:hAnsi="宋体" w:eastAsia="宋体" w:cs="宋体"/>
          <w:bCs/>
          <w:color w:val="auto"/>
          <w:sz w:val="21"/>
          <w:szCs w:val="21"/>
        </w:rPr>
        <w:t>未尽事宜，经甲方与乙方协商一致，可签订补充协议，补充协议与本协议具有同等法律效力。</w:t>
      </w:r>
    </w:p>
    <w:p w14:paraId="078461F8">
      <w:pPr>
        <w:snapToGrid w:val="0"/>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六、本协议未尽事宜，由甲、乙双方协商解决。协商不成的双方可提交甲方所在地人民法院裁判。</w:t>
      </w:r>
    </w:p>
    <w:p w14:paraId="73694E85">
      <w:pPr>
        <w:snapToGrid w:val="0"/>
        <w:spacing w:line="56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七、本协议自甲乙双方签字盖章之日起生效。本协议一式</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份，甲乙双方各持</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份，具有同等法律效力。</w:t>
      </w:r>
    </w:p>
    <w:p w14:paraId="05B00255">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1"/>
          <w:szCs w:val="21"/>
          <w:highlight w:val="none"/>
        </w:rPr>
      </w:pPr>
    </w:p>
    <w:p w14:paraId="1241F32B">
      <w:pPr>
        <w:keepNext w:val="0"/>
        <w:keepLines w:val="0"/>
        <w:pageBreakBefore w:val="0"/>
        <w:kinsoku/>
        <w:wordWrap/>
        <w:overflowPunct/>
        <w:topLinePunct w:val="0"/>
        <w:autoSpaceDE/>
        <w:autoSpaceDN/>
        <w:bidi w:val="0"/>
        <w:adjustRightInd/>
        <w:snapToGrid/>
        <w:spacing w:line="5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甲方（公章）：                         乙方（公章）:   </w:t>
      </w:r>
    </w:p>
    <w:p w14:paraId="29556CEA">
      <w:pPr>
        <w:spacing w:line="440" w:lineRule="exact"/>
        <w:rPr>
          <w:rFonts w:hint="eastAsia" w:ascii="宋体" w:hAnsi="宋体" w:eastAsia="宋体" w:cs="宋体"/>
          <w:color w:val="auto"/>
          <w:sz w:val="21"/>
          <w:szCs w:val="21"/>
          <w:highlight w:val="none"/>
        </w:rPr>
      </w:pPr>
    </w:p>
    <w:p w14:paraId="0E99CC01">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法定代表人：</w:t>
      </w:r>
    </w:p>
    <w:p w14:paraId="3B9F4D39">
      <w:pPr>
        <w:spacing w:line="440" w:lineRule="exact"/>
        <w:rPr>
          <w:rFonts w:hint="eastAsia" w:ascii="宋体" w:hAnsi="宋体" w:eastAsia="宋体" w:cs="宋体"/>
          <w:color w:val="auto"/>
          <w:sz w:val="21"/>
          <w:szCs w:val="21"/>
          <w:highlight w:val="none"/>
        </w:rPr>
      </w:pPr>
    </w:p>
    <w:p w14:paraId="224F6294">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                              开户行：</w:t>
      </w:r>
    </w:p>
    <w:p w14:paraId="1CFFE1DB">
      <w:pPr>
        <w:spacing w:line="440" w:lineRule="exact"/>
        <w:rPr>
          <w:rFonts w:hint="eastAsia" w:ascii="宋体" w:hAnsi="宋体" w:eastAsia="宋体" w:cs="宋体"/>
          <w:color w:val="auto"/>
          <w:sz w:val="21"/>
          <w:szCs w:val="21"/>
          <w:highlight w:val="none"/>
        </w:rPr>
      </w:pPr>
      <w:bookmarkStart w:id="3" w:name="_GoBack"/>
      <w:bookmarkEnd w:id="3"/>
    </w:p>
    <w:p w14:paraId="7676A93E">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                            银行账号：</w:t>
      </w:r>
    </w:p>
    <w:p w14:paraId="3257A936">
      <w:pPr>
        <w:spacing w:line="440" w:lineRule="exact"/>
        <w:rPr>
          <w:rFonts w:hint="eastAsia" w:ascii="宋体" w:hAnsi="宋体" w:eastAsia="宋体" w:cs="宋体"/>
          <w:color w:val="auto"/>
          <w:sz w:val="21"/>
          <w:szCs w:val="21"/>
          <w:highlight w:val="none"/>
        </w:rPr>
      </w:pPr>
    </w:p>
    <w:p w14:paraId="49D122F0">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                          委托代理人：</w:t>
      </w:r>
    </w:p>
    <w:p w14:paraId="5C2BD4E5">
      <w:pPr>
        <w:spacing w:line="440" w:lineRule="exact"/>
        <w:rPr>
          <w:rFonts w:hint="eastAsia" w:ascii="宋体" w:hAnsi="宋体" w:eastAsia="宋体" w:cs="宋体"/>
          <w:color w:val="auto"/>
          <w:sz w:val="21"/>
          <w:szCs w:val="21"/>
          <w:highlight w:val="none"/>
        </w:rPr>
      </w:pPr>
    </w:p>
    <w:p w14:paraId="4F60A9B4">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                            联系电话：</w:t>
      </w:r>
    </w:p>
    <w:p w14:paraId="239ADC93">
      <w:pPr>
        <w:spacing w:line="440" w:lineRule="exact"/>
        <w:rPr>
          <w:rFonts w:hint="eastAsia" w:ascii="宋体" w:hAnsi="宋体" w:eastAsia="宋体" w:cs="宋体"/>
          <w:color w:val="auto"/>
          <w:sz w:val="21"/>
          <w:szCs w:val="21"/>
          <w:highlight w:val="none"/>
        </w:rPr>
      </w:pPr>
    </w:p>
    <w:p w14:paraId="41B538F2">
      <w:pPr>
        <w:spacing w:line="44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 xml:space="preserve">日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3AC5D37"/>
    <w:sectPr>
      <w:headerReference r:id="rId4" w:type="default"/>
      <w:footnotePr>
        <w:numFmt w:val="decimalEnclosedCircleChinese"/>
        <w:numRestart w:val="eachPage"/>
      </w:footnotePr>
      <w:pgSz w:w="12240" w:h="15840"/>
      <w:pgMar w:top="1134" w:right="1134" w:bottom="1134" w:left="1134"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7AB93">
    <w:pPr>
      <w:pStyle w:val="8"/>
      <w:rPr>
        <w:rFonts w:hint="default" w:eastAsia="宋体"/>
        <w:b/>
        <w:bCs/>
        <w:sz w:val="21"/>
        <w:szCs w:val="21"/>
        <w:lang w:val="en-US" w:eastAsia="zh-CN"/>
      </w:rPr>
    </w:pPr>
    <w:r>
      <w:rPr>
        <w:rFonts w:hint="eastAsia"/>
        <w:b/>
        <w:bCs/>
        <w:sz w:val="21"/>
        <w:szCs w:val="21"/>
        <w:lang w:eastAsia="zh-CN"/>
      </w:rPr>
      <w:t>采购代理机构：陕西国信招标有限公司</w:t>
    </w:r>
    <w:r>
      <w:rPr>
        <w:rFonts w:hint="eastAsia"/>
        <w:b/>
        <w:bCs/>
        <w:sz w:val="21"/>
        <w:szCs w:val="21"/>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C4F3B">
    <w:pPr>
      <w:pStyle w:val="9"/>
      <w:widowControl w:val="0"/>
      <w:pBdr>
        <w:top w:val="none" w:color="auto" w:sz="0" w:space="1"/>
        <w:left w:val="none" w:color="auto" w:sz="0" w:space="4"/>
        <w:bottom w:val="none" w:color="auto" w:sz="0" w:space="1"/>
        <w:right w:val="none" w:color="auto" w:sz="0" w:space="4"/>
        <w:between w:val="none" w:color="auto" w:sz="0" w:space="0"/>
      </w:pBdr>
      <w:snapToGrid w:val="0"/>
      <w:spacing w:line="240" w:lineRule="auto"/>
      <w:jc w:val="both"/>
      <w:outlineLvl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upperLetter"/>
      <w:pStyle w:val="2"/>
      <w:lvlText w:val="%1．"/>
      <w:lvlJc w:val="left"/>
      <w:pPr>
        <w:tabs>
          <w:tab w:val="left" w:pos="324"/>
        </w:tabs>
        <w:ind w:left="45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B4E1D"/>
    <w:rsid w:val="04690D8F"/>
    <w:rsid w:val="3ADB4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jc w:val="center"/>
      <w:outlineLvl w:val="0"/>
    </w:pPr>
    <w:rPr>
      <w:rFonts w:ascii="黑体" w:eastAsia="黑体"/>
      <w:sz w:val="30"/>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0"/>
    <w:pPr>
      <w:ind w:right="-84" w:rightChars="-40"/>
      <w:jc w:val="center"/>
    </w:pPr>
    <w:rPr>
      <w:rFonts w:eastAsia="宋体"/>
      <w:kern w:val="2"/>
      <w:sz w:val="21"/>
      <w:szCs w:val="24"/>
      <w:lang w:val="en-US" w:eastAsia="zh-CN" w:bidi="ar-SA"/>
    </w:rPr>
  </w:style>
  <w:style w:type="paragraph" w:styleId="6">
    <w:name w:val="Body Text Indent"/>
    <w:basedOn w:val="1"/>
    <w:qFormat/>
    <w:uiPriority w:val="0"/>
    <w:pPr>
      <w:spacing w:line="360" w:lineRule="auto"/>
      <w:ind w:firstLine="480"/>
    </w:pPr>
    <w:rPr>
      <w:rFonts w:ascii="宋体" w:eastAsia="宋体"/>
      <w:kern w:val="2"/>
      <w:sz w:val="24"/>
      <w:szCs w:val="24"/>
      <w:lang w:val="en-US" w:eastAsia="zh-CN" w:bidi="ar-SA"/>
    </w:rPr>
  </w:style>
  <w:style w:type="paragraph" w:styleId="7">
    <w:name w:val="Plain Text"/>
    <w:basedOn w:val="1"/>
    <w:qFormat/>
    <w:uiPriority w:val="0"/>
    <w:rPr>
      <w:rFonts w:ascii="宋体" w:hAnsi="Courier New" w:eastAsia="宋体" w:cs="黑体"/>
      <w:sz w:val="21"/>
      <w:szCs w:val="21"/>
      <w:lang w:val="en-US" w:eastAsia="zh-CN" w:bidi="ar-SA"/>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2025-07-02T01:47:00Z</dcterms:created>
  <dc:creator> 风信子</dc:creator>
  <cp:lastModifiedBy> 风信子</cp:lastModifiedBy>
  <dcterms:modified xsi:type="dcterms:W3CDTF">2025-07-02T01:51:11Z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12EEB47315EA4071A481CE9934FD50BF_11</vt:lpwstr>
  </property>
  <property fmtid="{D5CDD505-2E9C-101B-9397-08002B2CF9AE}" pid="4" name="KSOTemplateDocerSaveRecord">
    <vt:lpwstr>eyJoZGlkIjoiNmIyYzg0MTFmNWMzYmVlNjc0YjlhYWJlN2RjYTUzMDAiLCJ1c2VySWQiOiI2MjA4MDUzMTYifQ==</vt:lpwstr>
  </property>
</Properties>
</file>