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版本号：GXZB2025-05520250702002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HK2-1-55-4号及HK3-1-43号宗地考古发掘劳务服务项目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GXZB2025-055</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HK2-1-55-4号及HK3-1-43号宗地考古发掘劳务服务项目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GXZB2025-055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HK2-1-55-4号及HK3-1-43号宗地考古发掘劳务服务项目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本项目拟对HK2-1-55-4号及HK3-1-43号宗地考古发掘劳务服务项目进行采购，具体详见采购文件。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采购包1（HK2-1-55-4号及HK3-1-43号宗地考古发掘劳务服务项目）：属于专门面向中小企业采购。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独立承担民事责任能力的法人、其他组织或自然人，提供营业执照/事业单位法人证书/非企业专业服务机构执业许可证/自然人身份证；：供应商须具备独立承担民事责任能力的法人、其他组织或自然人，提供营业执照/事业单位法人证书/非企业专业服务机构执业许可证/自然人身份证；供应商需在项目电子化交易系统中按要求上传相应证明文件并进行电子签章；</w:t>
      </w:r>
    </w:p>
    <w:p>
      <w:pPr>
        <w:pStyle w:val="null3"/>
      </w:pPr>
      <w:r>
        <w:rPr>
          <w:rFonts w:ascii="仿宋_GB2312" w:hAnsi="仿宋_GB2312" w:cs="仿宋_GB2312" w:eastAsia="仿宋_GB2312"/>
        </w:rPr>
        <w:t>2、依法缴纳税收和社会保障资金的良好记录。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依法缴纳税收和社会保障资金的良好记录。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3、供应商须提供2024年度财务报告；或其基本开户银行出具的资信证明；或磋商担保函（以上三种形式的资料提供任何一种即可）；：供应商须提供2024年度财务报告；或其基本开户银行出具的资信证明；或磋商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供应商参加政府采购活动前3年内在经营活动中没有重大违法记录的书面声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5、提供具有履行合同所必需的设备和专业技术能力的承诺；：提供具有履行合同所必需的设备和专业技术能力的承诺；供应商需在项目电子化交易系统中按要求上传相应证明文件并进行电子签章；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本项目为专门面向中小企业采购项目，供应商应为中型企业或小型或监狱企业或残疾人福利性单位；：本项目为专门面向中小企业采购项目，供应商应为中型企业或小型或监狱企业或残疾人福利性单位；供应商需在项目电子化交易系统中按要求上传相应证明文件并进行电子签章；</w:t>
      </w:r>
    </w:p>
    <w:p>
      <w:pPr>
        <w:pStyle w:val="null3"/>
      </w:pPr>
      <w:r>
        <w:rPr>
          <w:rFonts w:ascii="仿宋_GB2312" w:hAnsi="仿宋_GB2312" w:cs="仿宋_GB2312" w:eastAsia="仿宋_GB2312"/>
        </w:rPr>
        <w:t>7、供应商不得为“信用中国”网站（www.creditchina.gov.cn）中重大税收违法失信主体的供应商；不得为“中国执行信息公开网”网站（court.gov.cn）中失信被执行人；不得为中国政府采购网（www.ccgp.gov.cn）政府采购严重违法失信行为记录名单中被财政部门禁止参加政府采购活动的供应商。：供应商不得为“信用中国”网站（www.creditchina.gov.cn）中重大税收违法失信主体的供应商；不得为“中国执行信息公开网”网站（court.gov.cn）中失信被执行人；不得为中国政府采购网（www.ccgp.gov.cn）政府采购严重违法失信行为记录名单中被财政部门禁止参加政府采购活动的供应商；以开标后网站查询结果为准；供应商需在项目电子化交易系统中按要求上传相应证明文件并进行电子签章。</w:t>
      </w:r>
    </w:p>
    <w:p>
      <w:pPr>
        <w:pStyle w:val="null3"/>
      </w:pPr>
      <w:r>
        <w:rPr>
          <w:rFonts w:ascii="仿宋_GB2312" w:hAnsi="仿宋_GB2312" w:cs="仿宋_GB2312" w:eastAsia="仿宋_GB2312"/>
        </w:rPr>
        <w:t>8、法定代表人授权书及被授权人身份证（法定代表人直接参加磋商的须提供其法定代表人身份证，被授权人参加磋商的须出具本单位的社保缴纳证明）：法定代表人授权书及被授权人身份证（法定代表人直接参加磋商的须提供其法定代表人身份证，被授权人参加磋商的须出具本单位的社保缴纳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029-89083706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西安市曲江新区雁翔路3269号旺座曲江B座3105室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李岩岩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采购包1：1,861,361.03元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代理服务费收费标准：代理服务费收费标准：以成交金额为取费基数，采购代理服务费参照《 国家计委关于印发&lt;招标代理服务收费管理暂行办法&gt;的通知》（计价格[2002]1980号）和（ 发改办价格[2011]534号）文件规定的标准收取。 代理服务费缴纳账户信息： 银行户名：陕西 国信招标有限公司 开户银行：西安银行股份有限公司咸宁中路支行 账号：4120 1158 00000 61474 联系人：李岩岩 联系电话：029-82680887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联系人：李岩岩</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地址：西安市曲江新区雁翔路3269号旺座曲江B座3105室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本项目拟对HK2-1-55-4号及HK3-1-43号宗地考古发掘劳务服务项目进行采购，具体详见采购文件。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1,861,361.03</w:t>
      </w:r>
    </w:p>
    <w:p>
      <w:pPr>
        <w:pStyle w:val="null3"/>
      </w:pPr>
      <w:r>
        <w:rPr>
          <w:rFonts w:ascii="仿宋_GB2312" w:hAnsi="仿宋_GB2312" w:cs="仿宋_GB2312" w:eastAsia="仿宋_GB2312"/>
        </w:rPr>
        <w:t>采购包最高限价（元）: 1,861,361.03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HK2-1-55-4号及HK3-1-43号宗地考古发掘劳务服务项目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1,861,361.03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标的名称：HK2-1-55-4号及HK3-1-43号宗地考古发掘劳务服务项目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0"/>
                <w:color w:val="000000"/>
              </w:rPr>
              <w:t>一</w:t>
            </w:r>
            <w:r>
              <w:rPr>
                <w:rFonts w:ascii="仿宋_GB2312" w:hAnsi="仿宋_GB2312" w:cs="仿宋_GB2312" w:eastAsia="仿宋_GB2312"/>
                <w:sz w:val="20"/>
                <w:color w:val="000000"/>
              </w:rPr>
              <w:t>、服务内容</w:t>
            </w:r>
          </w:p>
          <w:p>
            <w:pPr>
              <w:pStyle w:val="null3"/>
              <w:ind w:firstLine="400"/>
            </w:pPr>
            <w:r>
              <w:rPr>
                <w:rFonts w:ascii="仿宋_GB2312" w:hAnsi="仿宋_GB2312" w:cs="仿宋_GB2312" w:eastAsia="仿宋_GB2312"/>
                <w:sz w:val="20"/>
                <w:color w:val="000000"/>
              </w:rPr>
              <w:t>考古发掘劳务工作负责</w:t>
            </w:r>
            <w:r>
              <w:rPr>
                <w:rFonts w:ascii="仿宋_GB2312" w:hAnsi="仿宋_GB2312" w:cs="仿宋_GB2312" w:eastAsia="仿宋_GB2312"/>
                <w:sz w:val="20"/>
                <w:color w:val="000000"/>
              </w:rPr>
              <w:t>HK2-1-55-4号及HK3-1-43号宗地</w:t>
            </w:r>
            <w:r>
              <w:rPr>
                <w:rFonts w:ascii="仿宋_GB2312" w:hAnsi="仿宋_GB2312" w:cs="仿宋_GB2312" w:eastAsia="仿宋_GB2312"/>
                <w:sz w:val="21"/>
                <w:color w:val="000000"/>
              </w:rPr>
              <w:t>土方劳务外包工作配合考古发掘单位按时完成考古发掘，包含支护加固等工作。本项目按供地及建设计划分批实施，具体项目实施情况以财政部门审批为准；需满足的要求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符合现行国家相关标准、行业标准及采购人要求。</w:t>
            </w:r>
          </w:p>
          <w:p>
            <w:pPr>
              <w:pStyle w:val="null3"/>
              <w:ind w:firstLine="400"/>
            </w:pPr>
            <w:r>
              <w:rPr>
                <w:rFonts w:ascii="仿宋_GB2312" w:hAnsi="仿宋_GB2312" w:cs="仿宋_GB2312" w:eastAsia="仿宋_GB2312"/>
                <w:sz w:val="20"/>
                <w:color w:val="000000"/>
              </w:rPr>
              <w:t>二</w:t>
            </w:r>
            <w:r>
              <w:rPr>
                <w:rFonts w:ascii="仿宋_GB2312" w:hAnsi="仿宋_GB2312" w:cs="仿宋_GB2312" w:eastAsia="仿宋_GB2312"/>
                <w:sz w:val="20"/>
                <w:color w:val="000000"/>
              </w:rPr>
              <w:t>、技术要求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1）投标人应根据国家和省、市有关法律法规及采购人的有关规定，配合考古发掘单位按时完成考古发掘，包含土方劳务、支护加固、</w:t>
            </w:r>
            <w:r>
              <w:rPr>
                <w:rFonts w:ascii="仿宋_GB2312" w:hAnsi="仿宋_GB2312" w:cs="仿宋_GB2312" w:eastAsia="仿宋_GB2312"/>
                <w:sz w:val="20"/>
                <w:color w:val="000000"/>
              </w:rPr>
              <w:t>遗迹清理</w:t>
            </w:r>
            <w:r>
              <w:rPr>
                <w:rFonts w:ascii="仿宋_GB2312" w:hAnsi="仿宋_GB2312" w:cs="仿宋_GB2312" w:eastAsia="仿宋_GB2312"/>
                <w:sz w:val="20"/>
                <w:color w:val="000000"/>
              </w:rPr>
              <w:t>、</w:t>
            </w:r>
            <w:r>
              <w:rPr>
                <w:rFonts w:ascii="仿宋_GB2312" w:hAnsi="仿宋_GB2312" w:cs="仿宋_GB2312" w:eastAsia="仿宋_GB2312"/>
                <w:sz w:val="20"/>
                <w:color w:val="000000"/>
              </w:rPr>
              <w:t>记录测绘，考古发掘资料分类整理，统计</w:t>
            </w:r>
            <w:r>
              <w:rPr>
                <w:rFonts w:ascii="仿宋_GB2312" w:hAnsi="仿宋_GB2312" w:cs="仿宋_GB2312" w:eastAsia="仿宋_GB2312"/>
                <w:sz w:val="20"/>
                <w:color w:val="000000"/>
              </w:rPr>
              <w:t>等内容。</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2）投标人的服务方案符合相关要求并切实可行。对本项目及所处区域的文物发掘熟悉。具有对关键性问题的把握及解决方案、突发事件处理方案及安全预案的经验。</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3）投标人应拥有足够的人力、财力、物力和专业技术能力等资源保证按时按质按量完成委托业务。</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4）投标人应对自身安全负责，并给项目人员提供相应的保险保障。</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5）投标人应有健全的组织机构和内部管理制度，有完善的质量保证体系和安全管理制度。定期对人员进行相关文物、考古知识的培训。</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6）如被确认中标，则投标人于投标文件中承诺配备的人员必须配备到位，若需更换人员应先征得采购人同意，且替换的人员不低于被替换的人员的资质等级及工作能力。</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7）中标单位应独立完成工作任务，不得以任何形式将工作任务再委托其他个人和机构。</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8）发掘过程中，投标人应采取合理措施，确保文物的安全。</w:t>
            </w:r>
          </w:p>
          <w:p>
            <w:pPr>
              <w:pStyle w:val="null3"/>
              <w:ind w:firstLine="400"/>
            </w:pPr>
            <w:r>
              <w:rPr>
                <w:rFonts w:ascii="仿宋_GB2312" w:hAnsi="仿宋_GB2312" w:cs="仿宋_GB2312" w:eastAsia="仿宋_GB2312"/>
                <w:sz w:val="20"/>
                <w:color w:val="000000"/>
              </w:rPr>
              <w:t>三</w:t>
            </w:r>
            <w:r>
              <w:rPr>
                <w:rFonts w:ascii="仿宋_GB2312" w:hAnsi="仿宋_GB2312" w:cs="仿宋_GB2312" w:eastAsia="仿宋_GB2312"/>
                <w:sz w:val="20"/>
                <w:color w:val="000000"/>
              </w:rPr>
              <w:t>、</w:t>
            </w:r>
            <w:r>
              <w:rPr>
                <w:rFonts w:ascii="仿宋_GB2312" w:hAnsi="仿宋_GB2312" w:cs="仿宋_GB2312" w:eastAsia="仿宋_GB2312"/>
                <w:sz w:val="20"/>
                <w:color w:val="000000"/>
              </w:rPr>
              <w:t>安全要求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1）投标人应对自身安全负贵，要遵守国家的相关安全规定。投标人应严格执行《考古工地安全协议》的相关要求，遵守考古工地的安全规定，确保考古工地的施工安全、人员安全和文物安全。</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3）投标人在考古发掘工作中对发现的古遗址、古墓葬等地下文物古迹负有看管保护的责任，并对相关信息负有保密的责任。</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4）投标人考古驻地的所有工作人员、财物、设备、设施以及暂存文物标本的文物库房等的安全保卫工作由投标人全权负责。驻地暂存文物和标本的临时文物库房，必须符合有关存放文物的安全要求。</w:t>
            </w:r>
          </w:p>
          <w:tbl>
            <w:tblPr>
              <w:tblBorders>
                <w:top w:val="none" w:color="000000" w:sz="4"/>
                <w:left w:val="none" w:color="000000" w:sz="4"/>
                <w:bottom w:val="none" w:color="000000" w:sz="4"/>
                <w:right w:val="none" w:color="000000" w:sz="4"/>
                <w:insideH w:val="none"/>
                <w:insideV w:val="none"/>
              </w:tblBorders>
            </w:tblPr>
            <w:tblGrid>
              <w:gridCol w:w="125"/>
              <w:gridCol w:w="311"/>
              <w:gridCol w:w="131"/>
              <w:gridCol w:w="117"/>
              <w:gridCol w:w="166"/>
              <w:gridCol w:w="166"/>
              <w:gridCol w:w="100"/>
              <w:gridCol w:w="100"/>
              <w:gridCol w:w="100"/>
              <w:gridCol w:w="100"/>
              <w:gridCol w:w="100"/>
              <w:gridCol w:w="100"/>
              <w:gridCol w:w="100"/>
              <w:gridCol w:w="100"/>
              <w:gridCol w:w="100"/>
              <w:gridCol w:w="100"/>
              <w:gridCol w:w="100"/>
              <w:gridCol w:w="100"/>
              <w:gridCol w:w="213"/>
              <w:gridCol w:w="106"/>
            </w:tblGrid>
            <w:tr>
              <w:tc>
                <w:tcPr>
                  <w:tcW w:type="dxa" w:w="2535"/>
                  <w:gridSpan w:val="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32"/>
                      <w:b/>
                      <w:color w:val="000000"/>
                    </w:rPr>
                    <w:t>墓葬登记表</w:t>
                  </w:r>
                </w:p>
              </w:tc>
            </w:tr>
            <w:tr>
              <w:tc>
                <w:tcPr>
                  <w:tcW w:type="dxa" w:w="2429"/>
                  <w:gridSpan w:val="19"/>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HK2-1-55-4号宗地</w:t>
                  </w:r>
                  <w:r>
                    <w:rPr>
                      <w:rFonts w:ascii="仿宋_GB2312" w:hAnsi="仿宋_GB2312" w:cs="仿宋_GB2312" w:eastAsia="仿宋_GB2312"/>
                      <w:sz w:val="24"/>
                      <w:color w:val="000000"/>
                    </w:rPr>
                    <w:t xml:space="preserve"> </w:t>
                  </w: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16"/>
                  <w:gridSpan w:val="7"/>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pPr>
                </w:p>
              </w:tc>
              <w:tc>
                <w:tcPr>
                  <w:tcW w:type="dxa" w:w="200"/>
                  <w:gridSpan w:val="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313"/>
                  <w:gridSpan w:val="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单位：米</w:t>
                  </w: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编号</w:t>
                  </w:r>
                </w:p>
              </w:tc>
              <w:tc>
                <w:tcPr>
                  <w:tcW w:type="dxa" w:w="31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形制</w:t>
                  </w:r>
                </w:p>
              </w:tc>
              <w:tc>
                <w:tcPr>
                  <w:tcW w:type="dxa" w:w="131"/>
                  <w:vMerge w:val="restart"/>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开口深</w:t>
                  </w:r>
                </w:p>
              </w:tc>
              <w:tc>
                <w:tcPr>
                  <w:tcW w:type="dxa" w:w="11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初步断代</w:t>
                  </w:r>
                </w:p>
              </w:tc>
              <w:tc>
                <w:tcPr>
                  <w:tcW w:type="dxa" w:w="53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墓</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道</w:t>
                  </w:r>
                </w:p>
              </w:tc>
              <w:tc>
                <w:tcPr>
                  <w:tcW w:type="dxa" w:w="600"/>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墓</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室</w:t>
                  </w:r>
                </w:p>
              </w:tc>
              <w:tc>
                <w:tcPr>
                  <w:tcW w:type="dxa" w:w="200"/>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包含物</w:t>
                  </w:r>
                </w:p>
              </w:tc>
              <w:tc>
                <w:tcPr>
                  <w:tcW w:type="dxa" w:w="200"/>
                  <w:gridSpan w:val="2"/>
                  <w:vMerge w:val="restart"/>
                  <w:tcBorders>
                    <w:top w:val="singl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方向</w:t>
                  </w:r>
                </w:p>
              </w:tc>
              <w:tc>
                <w:tcPr>
                  <w:tcW w:type="dxa" w:w="213"/>
                  <w:vMerge w:val="restart"/>
                  <w:tcBorders>
                    <w:top w:val="singl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备注</w:t>
                  </w: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131"/>
                  <w:vMerge/>
                  <w:tcBorders>
                    <w:top w:val="none" w:color="000000" w:sz="4"/>
                    <w:left w:val="none" w:color="000000" w:sz="4"/>
                    <w:bottom w:val="single" w:color="000000" w:sz="28"/>
                    <w:right w:val="single" w:color="000000" w:sz="4"/>
                  </w:tcBorders>
                </w:tcPr>
                <w:p/>
              </w:tc>
              <w:tc>
                <w:tcPr>
                  <w:tcW w:type="dxa" w:w="117"/>
                  <w:vMerge/>
                  <w:tcBorders>
                    <w:top w:val="none" w:color="000000" w:sz="4"/>
                    <w:left w:val="none" w:color="000000" w:sz="4"/>
                    <w:bottom w:val="single" w:color="000000" w:sz="4"/>
                    <w:right w:val="single" w:color="000000" w:sz="4"/>
                  </w:tcBorders>
                </w:tcP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长</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宽</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深</w:t>
                  </w:r>
                </w:p>
              </w:tc>
              <w:tc>
                <w:tcPr>
                  <w:tcW w:type="dxa" w:w="20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长</w:t>
                  </w:r>
                </w:p>
              </w:tc>
              <w:tc>
                <w:tcPr>
                  <w:tcW w:type="dxa" w:w="20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宽</w:t>
                  </w:r>
                </w:p>
              </w:tc>
              <w:tc>
                <w:tcPr>
                  <w:tcW w:type="dxa" w:w="20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深</w:t>
                  </w:r>
                </w:p>
              </w:tc>
              <w:tc>
                <w:tcPr>
                  <w:tcW w:type="dxa" w:w="200"/>
                  <w:gridSpan w:val="2"/>
                  <w:vMerge/>
                  <w:tcBorders>
                    <w:top w:val="none" w:color="000000" w:sz="4"/>
                    <w:left w:val="none" w:color="000000" w:sz="4"/>
                    <w:bottom w:val="single" w:color="000000" w:sz="4"/>
                    <w:right w:val="single" w:color="000000" w:sz="4"/>
                  </w:tcBorders>
                </w:tcPr>
                <w:p/>
              </w:tc>
              <w:tc>
                <w:tcPr>
                  <w:tcW w:type="dxa" w:w="200"/>
                  <w:gridSpan w:val="2"/>
                  <w:vMerge/>
                  <w:tcBorders>
                    <w:top w:val="single" w:color="000000" w:sz="4"/>
                    <w:left w:val="none" w:color="000000" w:sz="4"/>
                    <w:bottom w:val="single" w:color="000000" w:sz="28"/>
                    <w:right w:val="single" w:color="000000" w:sz="4"/>
                  </w:tcBorders>
                </w:tcPr>
                <w:p/>
              </w:tc>
              <w:tc>
                <w:tcPr>
                  <w:tcW w:type="dxa" w:w="213"/>
                  <w:vMerge/>
                  <w:tcBorders>
                    <w:top w:val="single" w:color="000000" w:sz="4"/>
                    <w:left w:val="none" w:color="000000" w:sz="4"/>
                    <w:bottom w:val="single" w:color="000000" w:sz="28"/>
                    <w:right w:val="single" w:color="000000" w:sz="4"/>
                  </w:tcBorders>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2.2</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2.8</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1.6</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2.2</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M5</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2.2</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M6</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M7</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M8</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2.2</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M9</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M10</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M11</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M12</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M13</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M14</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1.6</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M15</w:t>
                  </w:r>
                </w:p>
              </w:tc>
              <w:tc>
                <w:tcPr>
                  <w:tcW w:type="dxa" w:w="311"/>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3.3</w:t>
                  </w:r>
                </w:p>
              </w:tc>
              <w:tc>
                <w:tcPr>
                  <w:tcW w:type="dxa" w:w="200"/>
                  <w:gridSpan w:val="2"/>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2.3</w:t>
                  </w:r>
                </w:p>
              </w:tc>
              <w:tc>
                <w:tcPr>
                  <w:tcW w:type="dxa" w:w="200"/>
                  <w:gridSpan w:val="2"/>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3.3</w:t>
                  </w:r>
                </w:p>
              </w:tc>
              <w:tc>
                <w:tcPr>
                  <w:tcW w:type="dxa" w:w="200"/>
                  <w:gridSpan w:val="2"/>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28"/>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M16</w:t>
                  </w:r>
                </w:p>
              </w:tc>
              <w:tc>
                <w:tcPr>
                  <w:tcW w:type="dxa" w:w="3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2.2</w:t>
                  </w:r>
                </w:p>
              </w:tc>
              <w:tc>
                <w:tcPr>
                  <w:tcW w:type="dxa" w:w="20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M17</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3.1</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3.1</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M18</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M19</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M20</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M21</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M22</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M23</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M24</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4.1</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4.1</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M25</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M26</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M27</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M28</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M29</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1.8</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M30</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1.8</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M31</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M32</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1.8</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M33</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M34</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6.0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6.0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M35</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6.5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6.5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M36</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M37</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3.3</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M38</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M39</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M40</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1.8</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M41</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M42</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1.8</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M43</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M44</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2.4</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3.5</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M45</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5.0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M46</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1.0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2.0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M47</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6.0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M48</w:t>
                  </w:r>
                </w:p>
              </w:tc>
              <w:tc>
                <w:tcPr>
                  <w:tcW w:type="dxa" w:w="3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竖穴墓</w:t>
                  </w:r>
                </w:p>
              </w:tc>
              <w:tc>
                <w:tcPr>
                  <w:tcW w:type="dxa" w:w="1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6.0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3.0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0"/>
                      <w:color w:val="000000"/>
                    </w:rPr>
                    <w:t>4.0</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花土、骨、灰</w:t>
                  </w:r>
                </w:p>
              </w:tc>
              <w:tc>
                <w:tcPr>
                  <w:tcW w:type="dxa" w:w="20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tbl>
            <w:tblPr>
              <w:tblBorders>
                <w:top w:val="none" w:color="000000" w:sz="4"/>
                <w:left w:val="none" w:color="000000" w:sz="4"/>
                <w:bottom w:val="none" w:color="000000" w:sz="4"/>
                <w:right w:val="none" w:color="000000" w:sz="4"/>
                <w:insideH w:val="none"/>
                <w:insideV w:val="none"/>
              </w:tblBorders>
            </w:tblPr>
            <w:tblGrid>
              <w:gridCol w:w="126"/>
              <w:gridCol w:w="214"/>
              <w:gridCol w:w="243"/>
              <w:gridCol w:w="227"/>
              <w:gridCol w:w="182"/>
              <w:gridCol w:w="216"/>
              <w:gridCol w:w="193"/>
              <w:gridCol w:w="616"/>
              <w:gridCol w:w="164"/>
              <w:gridCol w:w="359"/>
            </w:tblGrid>
            <w:tr>
              <w:tc>
                <w:tcPr>
                  <w:tcW w:type="dxa" w:w="2540"/>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b/>
                      <w:color w:val="000000"/>
                    </w:rPr>
                    <w:t>遗址登记表</w:t>
                  </w:r>
                </w:p>
              </w:tc>
            </w:tr>
            <w:tr>
              <w:tc>
                <w:tcPr>
                  <w:tcW w:type="dxa" w:w="2540"/>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HK2-1-55-4号宗地</w:t>
                  </w:r>
                </w:p>
              </w:tc>
            </w:tr>
            <w:tr>
              <w:tc>
                <w:tcPr>
                  <w:tcW w:type="dxa" w:w="1208"/>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p>
              </w:tc>
              <w:tc>
                <w:tcPr>
                  <w:tcW w:type="dxa" w:w="1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2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单位：米</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编号</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形状</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开口深</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初步断代</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长</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宽</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深</w:t>
                  </w:r>
                </w:p>
              </w:tc>
              <w:tc>
                <w:tcPr>
                  <w:tcW w:type="dxa" w:w="61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包含物</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方向</w:t>
                  </w:r>
                </w:p>
              </w:tc>
              <w:tc>
                <w:tcPr>
                  <w:tcW w:type="dxa" w:w="3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备注</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G1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长条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古代</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170.0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4.3</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活土、填土、淤积土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Y1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古代</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烧土、砖</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Y2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古代</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烧土、砖</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16"/>
              <w:gridCol w:w="84"/>
              <w:gridCol w:w="84"/>
              <w:gridCol w:w="84"/>
              <w:gridCol w:w="84"/>
              <w:gridCol w:w="133"/>
              <w:gridCol w:w="84"/>
              <w:gridCol w:w="84"/>
              <w:gridCol w:w="84"/>
              <w:gridCol w:w="84"/>
              <w:gridCol w:w="84"/>
              <w:gridCol w:w="84"/>
              <w:gridCol w:w="84"/>
              <w:gridCol w:w="84"/>
              <w:gridCol w:w="84"/>
              <w:gridCol w:w="84"/>
              <w:gridCol w:w="84"/>
              <w:gridCol w:w="84"/>
              <w:gridCol w:w="84"/>
              <w:gridCol w:w="84"/>
              <w:gridCol w:w="84"/>
              <w:gridCol w:w="84"/>
              <w:gridCol w:w="84"/>
              <w:gridCol w:w="84"/>
              <w:gridCol w:w="84"/>
              <w:gridCol w:w="84"/>
              <w:gridCol w:w="84"/>
              <w:gridCol w:w="84"/>
              <w:gridCol w:w="176"/>
              <w:gridCol w:w="32"/>
            </w:tblGrid>
            <w:tr>
              <w:tc>
                <w:tcPr>
                  <w:tcW w:type="dxa" w:w="2541"/>
                  <w:gridSpan w:val="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b/>
                      <w:color w:val="000000"/>
                    </w:rPr>
                    <w:t>现代</w:t>
                  </w:r>
                  <w:r>
                    <w:rPr>
                      <w:rFonts w:ascii="仿宋_GB2312" w:hAnsi="仿宋_GB2312" w:cs="仿宋_GB2312" w:eastAsia="仿宋_GB2312"/>
                      <w:sz w:val="32"/>
                      <w:b/>
                      <w:color w:val="000000"/>
                    </w:rPr>
                    <w:t>遗址登记表</w:t>
                  </w:r>
                </w:p>
              </w:tc>
            </w:tr>
            <w:tr>
              <w:tc>
                <w:tcPr>
                  <w:tcW w:type="dxa" w:w="2541"/>
                  <w:gridSpan w:val="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HK2-1-55-4号宗地</w:t>
                  </w:r>
                </w:p>
              </w:tc>
            </w:tr>
            <w:tr>
              <w:tc>
                <w:tcPr>
                  <w:tcW w:type="dxa" w:w="1241"/>
                  <w:gridSpan w:val="1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p>
              </w:tc>
              <w:tc>
                <w:tcPr>
                  <w:tcW w:type="dxa" w:w="336"/>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42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4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单位：米</w:t>
                  </w: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编号</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形状</w:t>
                  </w:r>
                </w:p>
              </w:tc>
              <w:tc>
                <w:tcPr>
                  <w:tcW w:type="dxa" w:w="30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开口深</w:t>
                  </w:r>
                </w:p>
              </w:tc>
              <w:tc>
                <w:tcPr>
                  <w:tcW w:type="dxa" w:w="1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初步断代</w:t>
                  </w:r>
                </w:p>
              </w:tc>
              <w:tc>
                <w:tcPr>
                  <w:tcW w:type="dxa" w:w="1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长</w:t>
                  </w:r>
                </w:p>
              </w:tc>
              <w:tc>
                <w:tcPr>
                  <w:tcW w:type="dxa" w:w="33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宽</w:t>
                  </w:r>
                </w:p>
              </w:tc>
              <w:tc>
                <w:tcPr>
                  <w:tcW w:type="dxa" w:w="33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深</w:t>
                  </w:r>
                </w:p>
              </w:tc>
              <w:tc>
                <w:tcPr>
                  <w:tcW w:type="dxa" w:w="420"/>
                  <w:gridSpan w:val="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包含物</w:t>
                  </w:r>
                </w:p>
              </w:tc>
              <w:tc>
                <w:tcPr>
                  <w:tcW w:type="dxa" w:w="1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方向</w:t>
                  </w:r>
                </w:p>
              </w:tc>
              <w:tc>
                <w:tcPr>
                  <w:tcW w:type="dxa" w:w="376"/>
                  <w:gridSpan w:val="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备注</w:t>
                  </w: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1.7</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K6</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K7</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K8</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3.3</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K9</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K10</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K11</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2.7</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K12</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K13</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K14</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K16</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K17</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3.2</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K18</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K19</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K20</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K21</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K22</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K23</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K24</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2.6</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K26</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K27</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K28</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K29</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2.2</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K30</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K31</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K32</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K33</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2.6</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K34</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K36</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K37</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K38</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K39</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K40</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K41</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K42</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K43</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K44</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K46</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K47</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2.6</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K48</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K49</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K50</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K51</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K52</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K53</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K54</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K56</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K57</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K58</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11.0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K59</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K60</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K61</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脏土、砖瓦</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K62</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22.0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14.5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K63</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3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0.5</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3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4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1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7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
                </w:tcPr>
                <w:p>
                  <w:pPr>
                    <w:pStyle w:val="null3"/>
                  </w:pPr>
                  <w:r>
                    <w:rPr>
                      <w:rFonts w:ascii="仿宋_GB2312" w:hAnsi="仿宋_GB2312" w:cs="仿宋_GB2312" w:eastAsia="仿宋_GB2312"/>
                      <w:sz w:val="19"/>
                    </w:rPr>
                    <w:t xml:space="preserve"> </w:t>
                  </w:r>
                </w:p>
              </w:tc>
              <w:tc>
                <w:tcPr>
                  <w:tcW w:type="dxa" w:w="2493"/>
                  <w:gridSpan w:val="28"/>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8"/>
                      <w:b/>
                      <w:color w:val="000000"/>
                    </w:rPr>
                    <w:t>墓葬登记表</w:t>
                  </w: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2493"/>
                  <w:gridSpan w:val="28"/>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HK3-1-43号宗地</w:t>
                  </w: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057"/>
                  <w:gridSpan w:val="1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pPr>
                </w:p>
              </w:tc>
              <w:tc>
                <w:tcPr>
                  <w:tcW w:type="dxa" w:w="252"/>
                  <w:gridSpan w:val="3"/>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168"/>
                  <w:gridSpan w:val="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252"/>
                  <w:gridSpan w:val="3"/>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168"/>
                  <w:gridSpan w:val="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420"/>
                  <w:gridSpan w:val="5"/>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tc>
              <w:tc>
                <w:tcPr>
                  <w:tcW w:type="dxa" w:w="176"/>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单位：米</w:t>
                  </w: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编号</w:t>
                  </w:r>
                </w:p>
              </w:tc>
              <w:tc>
                <w:tcPr>
                  <w:tcW w:type="dxa" w:w="168"/>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形制</w:t>
                  </w:r>
                </w:p>
              </w:tc>
              <w:tc>
                <w:tcPr>
                  <w:tcW w:type="dxa" w:w="133"/>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开口深</w:t>
                  </w:r>
                </w:p>
              </w:tc>
              <w:tc>
                <w:tcPr>
                  <w:tcW w:type="dxa" w:w="168"/>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初步断代</w:t>
                  </w:r>
                </w:p>
              </w:tc>
              <w:tc>
                <w:tcPr>
                  <w:tcW w:type="dxa" w:w="504"/>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墓</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道</w:t>
                  </w:r>
                </w:p>
              </w:tc>
              <w:tc>
                <w:tcPr>
                  <w:tcW w:type="dxa" w:w="672"/>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墓</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室</w:t>
                  </w:r>
                </w:p>
              </w:tc>
              <w:tc>
                <w:tcPr>
                  <w:tcW w:type="dxa" w:w="252"/>
                  <w:gridSpan w:val="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包含物</w:t>
                  </w:r>
                </w:p>
              </w:tc>
              <w:tc>
                <w:tcPr>
                  <w:tcW w:type="dxa" w:w="168"/>
                  <w:gridSpan w:val="2"/>
                  <w:vMerge w:val="restart"/>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方向</w:t>
                  </w:r>
                </w:p>
              </w:tc>
              <w:tc>
                <w:tcPr>
                  <w:tcW w:type="dxa" w:w="260"/>
                  <w:gridSpan w:val="2"/>
                  <w:vMerge w:val="restart"/>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备注</w:t>
                  </w: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vMerge/>
                  <w:tcBorders>
                    <w:top w:val="none" w:color="000000" w:sz="4"/>
                    <w:left w:val="single" w:color="000000" w:sz="4"/>
                    <w:bottom w:val="single" w:color="000000" w:sz="4"/>
                    <w:right w:val="single" w:color="000000" w:sz="4"/>
                  </w:tcBorders>
                </w:tcPr>
                <w:p/>
              </w:tc>
              <w:tc>
                <w:tcPr>
                  <w:tcW w:type="dxa" w:w="168"/>
                  <w:gridSpan w:val="2"/>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none" w:color="000000" w:sz="4"/>
                    <w:right w:val="single" w:color="000000" w:sz="4"/>
                  </w:tcBorders>
                </w:tcPr>
                <w:p/>
              </w:tc>
              <w:tc>
                <w:tcPr>
                  <w:tcW w:type="dxa" w:w="168"/>
                  <w:gridSpan w:val="2"/>
                  <w:vMerge/>
                  <w:tcBorders>
                    <w:top w:val="none" w:color="000000" w:sz="4"/>
                    <w:left w:val="none" w:color="000000" w:sz="4"/>
                    <w:bottom w:val="single" w:color="000000" w:sz="4"/>
                    <w:right w:val="single" w:color="000000" w:sz="4"/>
                  </w:tcBorders>
                </w:tcP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长</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宽</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深</w:t>
                  </w:r>
                </w:p>
              </w:tc>
              <w:tc>
                <w:tcPr>
                  <w:tcW w:type="dxa" w:w="252"/>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长</w:t>
                  </w:r>
                </w:p>
              </w:tc>
              <w:tc>
                <w:tcPr>
                  <w:tcW w:type="dxa" w:w="252"/>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宽</w:t>
                  </w:r>
                </w:p>
              </w:tc>
              <w:tc>
                <w:tcPr>
                  <w:tcW w:type="dxa" w:w="168"/>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深</w:t>
                  </w:r>
                </w:p>
              </w:tc>
              <w:tc>
                <w:tcPr>
                  <w:tcW w:type="dxa" w:w="252"/>
                  <w:gridSpan w:val="3"/>
                  <w:vMerge/>
                  <w:tcBorders>
                    <w:top w:val="none" w:color="000000" w:sz="4"/>
                    <w:left w:val="none" w:color="000000" w:sz="4"/>
                    <w:bottom w:val="single" w:color="000000" w:sz="4"/>
                    <w:right w:val="single" w:color="000000" w:sz="4"/>
                  </w:tcBorders>
                </w:tcPr>
                <w:p/>
              </w:tc>
              <w:tc>
                <w:tcPr>
                  <w:tcW w:type="dxa" w:w="168"/>
                  <w:gridSpan w:val="2"/>
                  <w:vMerge/>
                  <w:tcBorders>
                    <w:top w:val="single" w:color="000000" w:sz="4"/>
                    <w:left w:val="none" w:color="000000" w:sz="4"/>
                    <w:bottom w:val="none" w:color="000000" w:sz="4"/>
                    <w:right w:val="single" w:color="000000" w:sz="4"/>
                  </w:tcBorders>
                </w:tcPr>
                <w:p/>
              </w:tc>
              <w:tc>
                <w:tcPr>
                  <w:tcW w:type="dxa" w:w="260"/>
                  <w:gridSpan w:val="2"/>
                  <w:vMerge/>
                  <w:tcBorders>
                    <w:top w:val="single" w:color="000000" w:sz="4"/>
                    <w:left w:val="none" w:color="000000" w:sz="4"/>
                    <w:bottom w:val="none" w:color="000000" w:sz="4"/>
                    <w:right w:val="single" w:color="000000" w:sz="4"/>
                  </w:tcBorders>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1.3</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M3</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M4</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w:t>
                  </w:r>
                  <w:r>
                    <w:rPr>
                      <w:rFonts w:ascii="仿宋_GB2312" w:hAnsi="仿宋_GB2312" w:cs="仿宋_GB2312" w:eastAsia="仿宋_GB2312"/>
                      <w:sz w:val="22"/>
                      <w:color w:val="000000"/>
                    </w:rPr>
                    <w:t>5</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w:t>
                  </w:r>
                  <w:r>
                    <w:rPr>
                      <w:rFonts w:ascii="仿宋_GB2312" w:hAnsi="仿宋_GB2312" w:cs="仿宋_GB2312" w:eastAsia="仿宋_GB2312"/>
                      <w:sz w:val="22"/>
                      <w:color w:val="000000"/>
                    </w:rPr>
                    <w:t>6</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w:t>
                  </w:r>
                  <w:r>
                    <w:rPr>
                      <w:rFonts w:ascii="仿宋_GB2312" w:hAnsi="仿宋_GB2312" w:cs="仿宋_GB2312" w:eastAsia="仿宋_GB2312"/>
                      <w:sz w:val="22"/>
                      <w:color w:val="000000"/>
                    </w:rPr>
                    <w:t>7</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w:t>
                  </w:r>
                  <w:r>
                    <w:rPr>
                      <w:rFonts w:ascii="仿宋_GB2312" w:hAnsi="仿宋_GB2312" w:cs="仿宋_GB2312" w:eastAsia="仿宋_GB2312"/>
                      <w:sz w:val="22"/>
                      <w:color w:val="000000"/>
                    </w:rPr>
                    <w:t>8</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5.0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5.0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w:t>
                  </w:r>
                  <w:r>
                    <w:rPr>
                      <w:rFonts w:ascii="仿宋_GB2312" w:hAnsi="仿宋_GB2312" w:cs="仿宋_GB2312" w:eastAsia="仿宋_GB2312"/>
                      <w:sz w:val="22"/>
                      <w:color w:val="000000"/>
                    </w:rPr>
                    <w:t>9</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w:t>
                  </w: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5.0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5.0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w:t>
                  </w:r>
                  <w:r>
                    <w:rPr>
                      <w:rFonts w:ascii="仿宋_GB2312" w:hAnsi="仿宋_GB2312" w:cs="仿宋_GB2312" w:eastAsia="仿宋_GB2312"/>
                      <w:sz w:val="22"/>
                      <w:color w:val="000000"/>
                    </w:rPr>
                    <w:t>11</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1.8</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M13</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5.0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1.8</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5.0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M14</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1.7</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M15</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M16</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1.3</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M17</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M18</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1.7</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M19</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1.7</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M21</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竖穴土洞</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1.7</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骨、灰</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斜坡墓道砖室</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6.0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4.5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砖</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M23</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斜坡墓道砖室</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18.0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1.5</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6.5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6.5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6.5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w:t>
                  </w:r>
                  <w:r>
                    <w:rPr>
                      <w:rFonts w:ascii="仿宋_GB2312" w:hAnsi="仿宋_GB2312" w:cs="仿宋_GB2312" w:eastAsia="仿宋_GB2312"/>
                      <w:sz w:val="22"/>
                      <w:color w:val="000000"/>
                    </w:rPr>
                    <w:t>砖</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M24</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斜坡墓道砖室</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12.0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6.0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5.3</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6.0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花土、砖</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M25</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竖穴墓</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4"/>
                      <w:color w:val="000000"/>
                    </w:rPr>
                    <w:t xml:space="preserve"> </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3.0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骨</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M26</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竖穴墓</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骨</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6"/>
                </w:tcPr>
                <w:p>
                  <w:pPr>
                    <w:pStyle w:val="null3"/>
                  </w:pPr>
                  <w:r>
                    <w:rPr>
                      <w:rFonts w:ascii="仿宋_GB2312" w:hAnsi="仿宋_GB2312" w:cs="仿宋_GB2312" w:eastAsia="仿宋_GB2312"/>
                      <w:sz w:val="19"/>
                    </w:rPr>
                    <w:t xml:space="preserve"> </w:t>
                  </w:r>
                </w:p>
              </w:tc>
              <w:tc>
                <w:tcPr>
                  <w:tcW w:type="dxa" w:w="16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M27</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竖穴墓</w:t>
                  </w:r>
                </w:p>
              </w:tc>
              <w:tc>
                <w:tcPr>
                  <w:tcW w:type="dxa" w:w="1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2.2</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古</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2.5</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1.0</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2.0</w:t>
                  </w:r>
                </w:p>
              </w:tc>
              <w:tc>
                <w:tcPr>
                  <w:tcW w:type="dxa" w:w="252"/>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骨</w:t>
                  </w:r>
                </w:p>
              </w:tc>
              <w:tc>
                <w:tcPr>
                  <w:tcW w:type="dxa" w:w="16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26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tbl>
            <w:tblPr>
              <w:tblBorders>
                <w:top w:val="none" w:color="000000" w:sz="4"/>
                <w:left w:val="none" w:color="000000" w:sz="4"/>
                <w:bottom w:val="none" w:color="000000" w:sz="4"/>
                <w:right w:val="none" w:color="000000" w:sz="4"/>
                <w:insideH w:val="none"/>
                <w:insideV w:val="none"/>
              </w:tblBorders>
            </w:tblPr>
            <w:tblGrid>
              <w:gridCol w:w="133"/>
              <w:gridCol w:w="136"/>
              <w:gridCol w:w="166"/>
              <w:gridCol w:w="205"/>
              <w:gridCol w:w="147"/>
              <w:gridCol w:w="147"/>
              <w:gridCol w:w="253"/>
              <w:gridCol w:w="136"/>
              <w:gridCol w:w="136"/>
              <w:gridCol w:w="136"/>
              <w:gridCol w:w="136"/>
              <w:gridCol w:w="136"/>
              <w:gridCol w:w="136"/>
              <w:gridCol w:w="208"/>
              <w:gridCol w:w="336"/>
            </w:tblGrid>
            <w:tr>
              <w:tc>
                <w:tcPr>
                  <w:tcW w:type="dxa" w:w="2547"/>
                  <w:gridSpan w:val="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color w:val="000000"/>
                    </w:rPr>
                    <w:t>其他遗迹登记表</w:t>
                  </w:r>
                </w:p>
              </w:tc>
            </w:tr>
            <w:tr>
              <w:tc>
                <w:tcPr>
                  <w:tcW w:type="dxa" w:w="2547"/>
                  <w:gridSpan w:val="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HK3-1-43号宗地</w:t>
                  </w:r>
                </w:p>
              </w:tc>
            </w:tr>
            <w:tr>
              <w:tc>
                <w:tcPr>
                  <w:tcW w:type="dxa" w:w="1323"/>
                  <w:gridSpan w:val="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p>
              </w:tc>
              <w:tc>
                <w:tcPr>
                  <w:tcW w:type="dxa" w:w="2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7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80"/>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单位：米</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编号</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形状</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开口深</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初步断代</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长</w:t>
                  </w:r>
                </w:p>
              </w:tc>
              <w:tc>
                <w:tcPr>
                  <w:tcW w:type="dxa" w:w="2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宽</w:t>
                  </w:r>
                </w:p>
              </w:tc>
              <w:tc>
                <w:tcPr>
                  <w:tcW w:type="dxa" w:w="2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深</w:t>
                  </w:r>
                </w:p>
              </w:tc>
              <w:tc>
                <w:tcPr>
                  <w:tcW w:type="dxa" w:w="272"/>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包含物</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方向</w:t>
                  </w:r>
                </w:p>
              </w:tc>
              <w:tc>
                <w:tcPr>
                  <w:tcW w:type="dxa" w:w="33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备注</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Y1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5.2</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填土、烧土、砖</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H9</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H10</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H11</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H12</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H13</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H14</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H15</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H16</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H17</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H18</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H19</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H20</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2.6</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H21</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H22</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H22</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灰坑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填土、灰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K4</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K5</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K6</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K7</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K8</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K9</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K10</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K11</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K12</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K13</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K14</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K15</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3.1</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K16</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K17</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K18</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K19</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K20</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K21</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K22</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K23</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K24</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K25</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K26</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K27</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K28</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K29</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K30</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K31</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K32</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K33</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K34</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杂填土、脏土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J1</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井</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砖、填土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J2</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井</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砖、填土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J3</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井</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4.2</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砖、填土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J4</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井</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砖、填土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J5</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井</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砖、填土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J6</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井</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砖、填土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J7</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井</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砖、填土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J8</w:t>
                  </w:r>
                </w:p>
              </w:tc>
              <w:tc>
                <w:tcPr>
                  <w:tcW w:type="dxa" w:w="3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井</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0.3</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现代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砖、填土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合同签订之后，待项目全部完成之后甲方支付合同总价款的100% 。甲方付款前，乙方应向甲方出具等额有效的增值税普通发票。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（一）违约责任：1.在合同履行期间，甲方要求终止或解除合同，不退还已付的合同价款，乙方已开始工作的，甲方应根据乙方已进行的实际工作量，据实支付服务费用； 2.由于乙方的错误，给甲方造成经济损失时，乙方应及时采取措施予以补救，并视损失大小，减收或免除损失部分的服务费用。 （二）合同争议解决的方式：1.本合同在履行过程中发生的争议，由甲、乙双方当事人协商解决，协商不成的提交西安仲裁委员会仲裁；2.依法向有管辖权的人民法院起诉。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供应商须具备独立承担民事责任能力的法人、其他组织或自然人，提供营业执照/事业单位法人证书/非企业专业服务机构执业许可证/自然人身份证；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事业单位法人证书/非企业专业服务机构执业许可证/自然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依法缴纳税收和社会保障资金的良好记录。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供应商须提供2024年度财务报告；或其基本开户银行出具的资信证明；或磋商担保函（以上三种形式的资料提供任何一种即可）；</w:t>
            </w:r>
          </w:p>
        </w:tc>
        <w:tc>
          <w:tcPr>
            <w:tcW w:type="dxa" w:w="3322"/>
          </w:tcPr>
          <w:p>
            <w:pPr>
              <w:pStyle w:val="null3"/>
            </w:pPr>
            <w:r>
              <w:rPr>
                <w:rFonts w:ascii="仿宋_GB2312" w:hAnsi="仿宋_GB2312" w:cs="仿宋_GB2312" w:eastAsia="仿宋_GB2312"/>
              </w:rPr>
              <w:t>供应商须提供2024年度财务报告；或其基本开户银行出具的资信证明；或磋商担保函（以上三种形式的资料提供任何一种即可）；供应商需在项目电子化交易系统中按要求上传相应证明文件并进行电子签章；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本项目为专门面向中小企业采购项目，供应商应为中型企业或小型或监狱企业或残疾人福利性单位；</w:t>
            </w:r>
          </w:p>
        </w:tc>
        <w:tc>
          <w:tcPr>
            <w:tcW w:type="dxa" w:w="3322"/>
          </w:tcPr>
          <w:p>
            <w:pPr>
              <w:pStyle w:val="null3"/>
            </w:pPr>
            <w:r>
              <w:rPr>
                <w:rFonts w:ascii="仿宋_GB2312" w:hAnsi="仿宋_GB2312" w:cs="仿宋_GB2312" w:eastAsia="仿宋_GB2312"/>
              </w:rPr>
              <w:t>本项目为专门面向中小企业采购项目，供应商应为中型企业或小型或监狱企业或残疾人福利性单位；供应商需在项目电子化交易系统中按要求上传相应证明文件并进行电子签章；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网站（www.creditchina.gov.cn）中重大税收违法失信主体的供应商；不得为“中国执行信息公开网”网站（court.gov.cn）中失信被执行人；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重大税收违法失信主体的供应商；不得为“中国执行信息公开网”网站（court.gov.cn）中失信被执行人；不得为中国政府采购网（www.ccgp.gov.cn）政府采购严重违法失信行为记录名单中被财政部门禁止参加政府采购活动的供应商；以开标后网站查询结果为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法定代表人授权书及被授权人身份证（法定代表人直接参加磋商的须提供其法定代表人身份证，被授权人参加磋商的须出具本单位的社保缴纳证明）</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被授权人参加磋商的须出具本单位的社保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中小企业声明函 报价表 资格证明文件.docx 响应文件封面 《拒绝政府采购领域商业贿赂承诺书》.docx 残疾人福利性单位声明函 服务方案 标的清单 响应函 商务偏离表.docx 供应商认为有必要补充说明的事宜.docx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磋商响应文件的份数是否满足要求，签字、盖章等格式是否符合磋商文件要求；2.磋商内容是否完整；3.磋商有效期是否满足要求；4.磋商报价是否未超过采购限价；5.交货安装期是否满足要求；6.付款方式是否完全响应；</w:t>
            </w:r>
          </w:p>
        </w:tc>
        <w:tc>
          <w:tcPr>
            <w:tcW w:type="dxa" w:w="3322"/>
          </w:tcPr>
          <w:p>
            <w:pPr>
              <w:pStyle w:val="null3"/>
            </w:pPr>
            <w:r>
              <w:rPr>
                <w:rFonts w:ascii="仿宋_GB2312" w:hAnsi="仿宋_GB2312" w:cs="仿宋_GB2312" w:eastAsia="仿宋_GB2312"/>
              </w:rPr>
              <w:t>1.磋商响应文件的份数是否满足要求，签字、盖章等格式是否符合磋商文件要求；2.磋商内容是否完整；3.磋商有效期是否满足要求；4.磋商报价是否未超过采购限价；5.服务期限满足要求；6.付款方式是否完全响应；</w:t>
            </w:r>
          </w:p>
        </w:tc>
        <w:tc>
          <w:tcPr>
            <w:tcW w:type="dxa" w:w="1661"/>
          </w:tcPr>
          <w:p>
            <w:pPr>
              <w:pStyle w:val="null3"/>
            </w:pPr>
            <w:r>
              <w:rPr>
                <w:rFonts w:ascii="仿宋_GB2312" w:hAnsi="仿宋_GB2312" w:cs="仿宋_GB2312" w:eastAsia="仿宋_GB2312"/>
              </w:rPr>
              <w:t>业绩.docx 中小企业声明函 报价表 资格证明文件.docx 响应文件封面 《拒绝政府采购领域商业贿赂承诺书》.docx 残疾人福利性单位声明函 服务方案 标的清单 响应函 商务偏离表.docx 供应商认为有必要补充说明的事宜.docx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根据发掘的古墓葬、扰土坑、沟等提出具体方案包括但不限于①本项目整体服务方案 ②投标人的文物保护方案 ③与考古发掘单位的配合方案 ④定期的对人员文物及考古知识的培训方案。 1、方案体现考古特点及性质，内容充足且具有针对性的得（14-20分）； 2、方案符合项目实际需求，内容较充足，相对合理可行的得（7-14分）； 3、方案基本符合项目实际情况，内容描述相对简单的得（1-7分）。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w:t>
            </w:r>
          </w:p>
        </w:tc>
        <w:tc>
          <w:tcPr>
            <w:tcW w:type="dxa" w:w="2492"/>
          </w:tcPr>
          <w:p>
            <w:pPr>
              <w:pStyle w:val="null3"/>
            </w:pPr>
            <w:r>
              <w:rPr>
                <w:rFonts w:ascii="仿宋_GB2312" w:hAnsi="仿宋_GB2312" w:cs="仿宋_GB2312" w:eastAsia="仿宋_GB2312"/>
              </w:rPr>
              <w:t>1、根据本项目的实际情况，提出有针对性的关键点分析及解决方案，关键点分析准确，解决方案针对性强的得（4-6分）； 2、对重点、难点分析基本准确，解决方案有一定的针对性和可行性的得（2-4分）； 3、对重点、难点分析与项目实际情况存在偏离，解决方案合理性、可行性差得（1-2分）；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投标人的内部管理制度，评委从①人事管理制度、②业务及档案管理制度、③职业准则及行为规范管理制度等方面进行赋分。 （1）投标人的管理制度完善、条理清晰，各方面制度详细完整合理能根据本项目实际情况调整的计（4-6分）; （2）投标人的管理制度敷衍、无实质性针对内容的计（2-4分）； （3）不符合上述两种情形的计（1-2分）。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拟投入本项目劳务工具</w:t>
            </w:r>
          </w:p>
        </w:tc>
        <w:tc>
          <w:tcPr>
            <w:tcW w:type="dxa" w:w="2492"/>
          </w:tcPr>
          <w:p>
            <w:pPr>
              <w:pStyle w:val="null3"/>
            </w:pPr>
            <w:r>
              <w:rPr>
                <w:rFonts w:ascii="仿宋_GB2312" w:hAnsi="仿宋_GB2312" w:cs="仿宋_GB2312" w:eastAsia="仿宋_GB2312"/>
              </w:rPr>
              <w:t>根据发掘的古墓葬、窑、扰土坑、沟、井等及文物保护性发掘特点，提出拟投入本项目的劳务工具。 1、所投入劳务工具符合项目实际需求，种类齐全、数量充足，完全满足工作需要的得（6-8分）； 2、所投入劳务工具基本符合项目实际需求，种类及数量能够满足工作需要的得（4-6分）； 3、所投入劳务工具部分符合考古工作特点及性质，基本满足项目实际需求得（1-4分）。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拟投入本项目劳务人员</w:t>
            </w:r>
          </w:p>
        </w:tc>
        <w:tc>
          <w:tcPr>
            <w:tcW w:type="dxa" w:w="2492"/>
          </w:tcPr>
          <w:p>
            <w:pPr>
              <w:pStyle w:val="null3"/>
            </w:pPr>
            <w:r>
              <w:rPr>
                <w:rFonts w:ascii="仿宋_GB2312" w:hAnsi="仿宋_GB2312" w:cs="仿宋_GB2312" w:eastAsia="仿宋_GB2312"/>
              </w:rPr>
              <w:t>根据拟投入本项目劳务人员人数、从业年限等情况综合赋分。 1、所投入劳务人员符合项目实际需求且人数充足，完全满足工作需要的得（4-6分）； 2、所投入劳务人员基本符合项目实际需求，能够满足工作需要的得（2-4分）； 3、所投入劳务人员部分符合项目实际需求的得（1-2分）。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确保质量的保证的措施</w:t>
            </w:r>
          </w:p>
        </w:tc>
        <w:tc>
          <w:tcPr>
            <w:tcW w:type="dxa" w:w="2492"/>
          </w:tcPr>
          <w:p>
            <w:pPr>
              <w:pStyle w:val="null3"/>
            </w:pPr>
            <w:r>
              <w:rPr>
                <w:rFonts w:ascii="仿宋_GB2312" w:hAnsi="仿宋_GB2312" w:cs="仿宋_GB2312" w:eastAsia="仿宋_GB2312"/>
              </w:rPr>
              <w:t>1、结合本项目实际情况，有详细完整的服务质量保证措施，措施详细完整、可行性、针对性强，能确保项目服务质量的得（4-6分）； 2、保障措施基本完整，基本符合项目实际需求，有一定的可行性及针对性以保证项目质量的得（2-4分）； 3、保障措施简单、与项目实际需求存在偏离，可行性、针对性较差的得（1-2分）；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提出对发掘的古墓葬、窑、扰土坑、沟、井等文物的保护措施，提出现场安全生产的技术措施。 1、安全措施完全符合考古工作特点及性质，具有针对性、全面性，可执行性强的得（6-8分）； 2、安全措施较为完善，能够满足文物保护及安全生产需求的得（4-6分）； 3、安全措施部分符合考古工作特点及性质，可行性一般的得（1-4分）。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保密措施方案</w:t>
            </w:r>
          </w:p>
        </w:tc>
        <w:tc>
          <w:tcPr>
            <w:tcW w:type="dxa" w:w="2492"/>
          </w:tcPr>
          <w:p>
            <w:pPr>
              <w:pStyle w:val="null3"/>
            </w:pPr>
            <w:r>
              <w:rPr>
                <w:rFonts w:ascii="仿宋_GB2312" w:hAnsi="仿宋_GB2312" w:cs="仿宋_GB2312" w:eastAsia="仿宋_GB2312"/>
              </w:rPr>
              <w:t>1.投标人有完善的保密管理制度、健全的保密管理体系、能够完全保证项目结果保密的得（4-6分）； 2.保密管理制度基本完善、保密管理体系比较健全、有一定的可行性能够确保项目结果保密的得（2-4分)； 3.保密管理制度与保密管理体系简单，可行性较差的得(1-2分)；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安全事故应急预案</w:t>
            </w:r>
          </w:p>
        </w:tc>
        <w:tc>
          <w:tcPr>
            <w:tcW w:type="dxa" w:w="2492"/>
          </w:tcPr>
          <w:p>
            <w:pPr>
              <w:pStyle w:val="null3"/>
            </w:pPr>
            <w:r>
              <w:rPr>
                <w:rFonts w:ascii="仿宋_GB2312" w:hAnsi="仿宋_GB2312" w:cs="仿宋_GB2312" w:eastAsia="仿宋_GB2312"/>
              </w:rPr>
              <w:t>供应商应针对本项目提供安全事故应急 预案。具有详细、有效的安全事故应急 预案、能在发生人员安全、设备安全时提供有效补救措施。应急预案完善合理，可操作性强计(5-8分)，应急预案一般，可操作性不强计(1-5分)。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提供投标人2022年1月至今类似项目业绩（以合同或中标通知书作为业绩证明），提供一份业绩得2分，满分10分，不提供不得分。 注：以合同或中标通知书为准，同时须在投标文件中须附提供的合同或中标通知书的扫描件，弄虚作假者，取消其投标资格。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承诺及合理化建议</w:t>
            </w:r>
          </w:p>
        </w:tc>
        <w:tc>
          <w:tcPr>
            <w:tcW w:type="dxa" w:w="2492"/>
          </w:tcPr>
          <w:p>
            <w:pPr>
              <w:pStyle w:val="null3"/>
            </w:pPr>
            <w:r>
              <w:rPr>
                <w:rFonts w:ascii="仿宋_GB2312" w:hAnsi="仿宋_GB2312" w:cs="仿宋_GB2312" w:eastAsia="仿宋_GB2312"/>
              </w:rPr>
              <w:t>1、投标人对本项目的承诺（包括但不限于服务质量承诺、服务期限、人员到位、成交后项目实施等方面）综合考虑计(1-3分）。 2、合理化建议，从积极意义、可行性、合理性等方面综合考虑计（1-3分），没有合理化建议的，本项不计分。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价格分采用低价优先法计算，即满足磋商文件要求且磋商价格最低的磋商报价为评审基准价，其价格分为满分。其他供应商的价格统一按照下列公式计算： 磋商报价得分=（磋商基准价/最后磋商报价）×价格权值×100 注：磋商小组三分之二以上成员认为某磋商报价有低于成本价嫌疑的，涉嫌不正当竞争的，为无效报价。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