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版本号：GXZB2026-041Z20260421001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“标准地”区域地质灾害危险性、水土保持、地震安全性评估</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GXZB2026-041Z</w:t>
      </w:r>
      <w:r>
        <w:br/>
      </w:r>
      <w:r>
        <w:br/>
      </w:r>
      <w:r>
        <w:br/>
      </w:r>
    </w:p>
    <w:p>
      <w:pPr>
        <w:pStyle w:val="null3"/>
        <w:jc w:val="center"/>
        <w:outlineLvl w:val="2"/>
      </w:pPr>
      <w:r>
        <w:rPr>
          <w:rFonts w:ascii="仿宋_GB2312" w:hAnsi="仿宋_GB2312" w:cs="仿宋_GB2312" w:eastAsia="仿宋_GB2312"/>
          <w:sz w:val="28"/>
          <w:b/>
        </w:rPr>
        <w:t>西安阎良国家航空高技术产业基地管理委员会</w:t>
      </w:r>
    </w:p>
    <w:p>
      <w:pPr>
        <w:pStyle w:val="null3"/>
        <w:jc w:val="center"/>
        <w:outlineLvl w:val="2"/>
      </w:pPr>
      <w:r>
        <w:rPr>
          <w:rFonts w:ascii="仿宋_GB2312" w:hAnsi="仿宋_GB2312" w:cs="仿宋_GB2312" w:eastAsia="仿宋_GB2312"/>
          <w:sz w:val="28"/>
          <w:b/>
        </w:rPr>
        <w:t>陕西国信招标有限公司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2026年04月21日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陕西国信招标有限公司</w:t>
      </w:r>
      <w:r>
        <w:rPr>
          <w:rFonts w:ascii="仿宋_GB2312" w:hAnsi="仿宋_GB2312" w:cs="仿宋_GB2312" w:eastAsia="仿宋_GB2312"/>
        </w:rPr>
        <w:t>（以下简称“代理机构”）受</w:t>
      </w:r>
      <w:r>
        <w:rPr>
          <w:rFonts w:ascii="仿宋_GB2312" w:hAnsi="仿宋_GB2312" w:cs="仿宋_GB2312" w:eastAsia="仿宋_GB2312"/>
        </w:rPr>
        <w:t>西安阎良国家航空高技术产业基地管理委员会</w:t>
      </w:r>
      <w:r>
        <w:rPr>
          <w:rFonts w:ascii="仿宋_GB2312" w:hAnsi="仿宋_GB2312" w:cs="仿宋_GB2312" w:eastAsia="仿宋_GB2312"/>
        </w:rPr>
        <w:t>委托，拟对</w:t>
      </w:r>
      <w:r>
        <w:rPr>
          <w:rFonts w:ascii="仿宋_GB2312" w:hAnsi="仿宋_GB2312" w:cs="仿宋_GB2312" w:eastAsia="仿宋_GB2312"/>
        </w:rPr>
        <w:t>“标准地”区域地质灾害危险性、水土保持、地震安全性评估</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GXZB2026-041Z</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“标准地”区域地质灾害危险性、水土保持、地震安全性评估</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“标准地”区域地质灾害危险性、水土保持、地震安全性评估，具体详见竞争性磋商文件。</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采购包1（区域地质灾害危险性评估项目）：属于专门面向中小企业采购。</w:t>
      </w:r>
    </w:p>
    <w:p>
      <w:pPr>
        <w:pStyle w:val="null3"/>
      </w:pPr>
      <w:r>
        <w:rPr>
          <w:rFonts w:ascii="仿宋_GB2312" w:hAnsi="仿宋_GB2312" w:cs="仿宋_GB2312" w:eastAsia="仿宋_GB2312"/>
        </w:rPr>
        <w:t>采购包2（区域水土保持技术服务项目）：属于专门面向中小企业采购。</w:t>
      </w:r>
    </w:p>
    <w:p>
      <w:pPr>
        <w:pStyle w:val="null3"/>
      </w:pPr>
      <w:r>
        <w:rPr>
          <w:rFonts w:ascii="仿宋_GB2312" w:hAnsi="仿宋_GB2312" w:cs="仿宋_GB2312" w:eastAsia="仿宋_GB2312"/>
        </w:rPr>
        <w:t>采购包3（区域地震安全性评价项目）：属于专门面向中小企业采购。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授权书：法定代表人授权书及被授权人身份证（法定代表人直接参加磋商的须提供其法定代表人身份证，法定代表人授权代表参加磋商的，须出具法定代表人授权书及被授权人在本单位的社保缴纳证明)。供应商需在项目电子化交易系统中按要求上传相应证明文件并进行电子签章。</w:t>
      </w:r>
    </w:p>
    <w:p>
      <w:pPr>
        <w:pStyle w:val="null3"/>
      </w:pPr>
      <w:r>
        <w:rPr>
          <w:rFonts w:ascii="仿宋_GB2312" w:hAnsi="仿宋_GB2312" w:cs="仿宋_GB2312" w:eastAsia="仿宋_GB2312"/>
        </w:rPr>
        <w:t>2、特定资质：供应商需具备行政主管部门颁发且有效的地质灾害评估和治理工程勘查设计乙级及以上资。</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法定代表人授权书：法定代表人授权书及被授权人身份证（法定代表人直接参加磋商的须提供其法定代表人身份证，法定代表人授权代表参加磋商的，须出具法定代表人授权书及被授权人在本单位的社保缴纳证明)。供应商需在项目电子化交易系统中按要求上传相应证明文件并进行电子签章。</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法定代表人授权书：法定代表人授权书及被授权人身份证（法定代表人直接参加磋商的须提供其法定代表人身份证，法定代表人授权代表参加磋商的，须出具法定代表人授权书及被授权人在本单位的社保缴纳证明)。供应商需在项目电子化交易系统中按要求上传相应证明文件并进行电子签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西安阎良国家航空高技术产业基地管理委员会</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西安市阎良区蓝天路88号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西安阎良国家航空高技术产业基地管理委员会 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15109114760</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陕西国信招标有限公司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西安市曲江新区旺座曲江B座3105</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张晓筱、高丹</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029-82680887</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西安阎良国家航空高新技术产业基地管理委员会政府采购管理股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周洋</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86851971</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采购包1：368,666.00元</w:t>
            </w:r>
          </w:p>
          <w:p>
            <w:pPr>
              <w:pStyle w:val="null3"/>
            </w:pPr>
            <w:r>
              <w:rPr>
                <w:rFonts w:ascii="仿宋_GB2312" w:hAnsi="仿宋_GB2312" w:cs="仿宋_GB2312" w:eastAsia="仿宋_GB2312"/>
              </w:rPr>
              <w:t>采购包2：310,000.00元</w:t>
            </w:r>
          </w:p>
          <w:p>
            <w:pPr>
              <w:pStyle w:val="null3"/>
            </w:pPr>
            <w:r>
              <w:rPr>
                <w:rFonts w:ascii="仿宋_GB2312" w:hAnsi="仿宋_GB2312" w:cs="仿宋_GB2312" w:eastAsia="仿宋_GB2312"/>
              </w:rPr>
              <w:t>采购包3：317,100.00元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p>
          <w:p>
            <w:pPr>
              <w:pStyle w:val="null3"/>
            </w:pPr>
            <w:r>
              <w:rPr>
                <w:rFonts w:ascii="仿宋_GB2312" w:hAnsi="仿宋_GB2312" w:cs="仿宋_GB2312" w:eastAsia="仿宋_GB2312"/>
              </w:rPr>
              <w:t>采购包3：不接受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p>
            <w:pPr>
              <w:pStyle w:val="null3"/>
            </w:pPr>
            <w:r>
              <w:rPr>
                <w:rFonts w:ascii="仿宋_GB2312" w:hAnsi="仿宋_GB2312" w:cs="仿宋_GB2312" w:eastAsia="仿宋_GB2312"/>
              </w:rPr>
              <w:t>采购包3：不缴纳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采购代理服务费的金额参照《国家计委关于印发&lt;招标代理服务收费管理暂行办法&gt;的通知》（计价格[2002]1980号）和国家发改委办公厅颁发的《关于招标代理服务收费有关问题的通知》（发改办价格【2003】857号）的有关规定收取。由中标（成交）单位在领取中标（成交）通知书前一次性向采购代理机构支付。 缴纳账户： 名 称：陕西国信招标有限公司 开户行：西安银行股份有限公司咸宁中路支行 账 号：4120 1158 00000 61474</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p>
            <w:pPr>
              <w:pStyle w:val="null3"/>
            </w:pPr>
            <w:r>
              <w:rPr>
                <w:rFonts w:ascii="仿宋_GB2312" w:hAnsi="仿宋_GB2312" w:cs="仿宋_GB2312" w:eastAsia="仿宋_GB2312"/>
              </w:rPr>
              <w:t>采购包3：组织现场踏勘：否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西安阎良国家航空高技术产业基地管理委员会</w:t>
      </w:r>
      <w:r>
        <w:rPr>
          <w:rFonts w:ascii="仿宋_GB2312" w:hAnsi="仿宋_GB2312" w:cs="仿宋_GB2312" w:eastAsia="仿宋_GB2312"/>
        </w:rPr>
        <w:t>和</w:t>
      </w:r>
      <w:r>
        <w:rPr>
          <w:rFonts w:ascii="仿宋_GB2312" w:hAnsi="仿宋_GB2312" w:cs="仿宋_GB2312" w:eastAsia="仿宋_GB2312"/>
        </w:rPr>
        <w:t>陕西国信招标有限公司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西安阎良国家航空高技术产业基地管理委员会</w:t>
      </w:r>
      <w:r>
        <w:rPr>
          <w:rFonts w:ascii="仿宋_GB2312" w:hAnsi="仿宋_GB2312" w:cs="仿宋_GB2312" w:eastAsia="仿宋_GB2312"/>
        </w:rPr>
        <w:t>负责解释。除上述磋商文件内容，其他内容由</w:t>
      </w:r>
      <w:r>
        <w:rPr>
          <w:rFonts w:ascii="仿宋_GB2312" w:hAnsi="仿宋_GB2312" w:cs="仿宋_GB2312" w:eastAsia="仿宋_GB2312"/>
        </w:rPr>
        <w:t>陕西国信招标有限公司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西安阎良国家航空高技术产业基地管理委员会</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陕西国信招标有限公司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pPr>
      <w:r>
        <w:rPr>
          <w:rFonts w:ascii="仿宋_GB2312" w:hAnsi="仿宋_GB2312" w:cs="仿宋_GB2312" w:eastAsia="仿宋_GB2312"/>
        </w:rPr>
        <w:t>采购包3：不允许合同分包。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满足国家及行业相关标准及要求。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满足国家及行业相关标准及要求。</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满足国家及行业相关标准及要求。</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陕西国信招标有限公司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陕西国信招标有限公司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陕西国信招标有限公司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联系人：张晓筱、高丹</w:t>
      </w:r>
    </w:p>
    <w:p>
      <w:pPr>
        <w:pStyle w:val="null3"/>
      </w:pPr>
      <w:r>
        <w:rPr>
          <w:rFonts w:ascii="仿宋_GB2312" w:hAnsi="仿宋_GB2312" w:cs="仿宋_GB2312" w:eastAsia="仿宋_GB2312"/>
        </w:rPr>
        <w:t>联系电话：029-82680887</w:t>
      </w:r>
    </w:p>
    <w:p>
      <w:pPr>
        <w:pStyle w:val="null3"/>
      </w:pPr>
      <w:r>
        <w:rPr>
          <w:rFonts w:ascii="仿宋_GB2312" w:hAnsi="仿宋_GB2312" w:cs="仿宋_GB2312" w:eastAsia="仿宋_GB2312"/>
        </w:rPr>
        <w:t>地址：西安市曲江新区旺座曲江B座3105</w:t>
      </w:r>
    </w:p>
    <w:p>
      <w:pPr>
        <w:pStyle w:val="null3"/>
      </w:pPr>
      <w:r>
        <w:rPr>
          <w:rFonts w:ascii="仿宋_GB2312" w:hAnsi="仿宋_GB2312" w:cs="仿宋_GB2312" w:eastAsia="仿宋_GB2312"/>
        </w:rPr>
        <w:t>邮编：710061</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拟对“标准地”区域地质灾害危险性、水土保持、地震安全性评估进行采购，具体详见竞争性磋商文件。</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368,666.00</w:t>
      </w:r>
    </w:p>
    <w:p>
      <w:pPr>
        <w:pStyle w:val="null3"/>
      </w:pPr>
      <w:r>
        <w:rPr>
          <w:rFonts w:ascii="仿宋_GB2312" w:hAnsi="仿宋_GB2312" w:cs="仿宋_GB2312" w:eastAsia="仿宋_GB2312"/>
        </w:rPr>
        <w:t>采购包最高限价（元）: 368,666.00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区域地质灾害危险性评估项目</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368,666.00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310,000.00</w:t>
      </w:r>
    </w:p>
    <w:p>
      <w:pPr>
        <w:pStyle w:val="null3"/>
      </w:pPr>
      <w:r>
        <w:rPr>
          <w:rFonts w:ascii="仿宋_GB2312" w:hAnsi="仿宋_GB2312" w:cs="仿宋_GB2312" w:eastAsia="仿宋_GB2312"/>
        </w:rPr>
        <w:t>采购包最高限价（元）: 310,000.00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区域水土保持技术服务项目</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310,000.00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采购包预算金额（元）: 317,100.00</w:t>
      </w:r>
    </w:p>
    <w:p>
      <w:pPr>
        <w:pStyle w:val="null3"/>
      </w:pPr>
      <w:r>
        <w:rPr>
          <w:rFonts w:ascii="仿宋_GB2312" w:hAnsi="仿宋_GB2312" w:cs="仿宋_GB2312" w:eastAsia="仿宋_GB2312"/>
        </w:rPr>
        <w:t>采购包最高限价（元）: 317,100.00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区域地震安全性评价项目</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317,100.00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标的名称：区域地质灾害危险性评估项目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center"/>
            </w:pPr>
            <w:r>
              <w:rPr>
                <w:rFonts w:ascii="仿宋_GB2312" w:hAnsi="仿宋_GB2312" w:cs="仿宋_GB2312" w:eastAsia="仿宋_GB2312"/>
                <w:sz w:val="24"/>
                <w:b/>
                <w:color w:val="000000"/>
              </w:rPr>
              <w:t>区域地质灾害危险性评估</w:t>
            </w:r>
            <w:r>
              <w:rPr>
                <w:rFonts w:ascii="仿宋_GB2312" w:hAnsi="仿宋_GB2312" w:cs="仿宋_GB2312" w:eastAsia="仿宋_GB2312"/>
                <w:sz w:val="24"/>
                <w:b/>
                <w:color w:val="000000"/>
              </w:rPr>
              <w:t>项目包</w:t>
            </w:r>
            <w:r>
              <w:rPr>
                <w:rFonts w:ascii="仿宋_GB2312" w:hAnsi="仿宋_GB2312" w:cs="仿宋_GB2312" w:eastAsia="仿宋_GB2312"/>
                <w:sz w:val="24"/>
                <w:b/>
                <w:color w:val="000000"/>
              </w:rPr>
              <w:t>1采购需求</w:t>
            </w:r>
          </w:p>
          <w:p>
            <w:pPr>
              <w:pStyle w:val="null3"/>
              <w:jc w:val="both"/>
            </w:pPr>
            <w:r>
              <w:rPr>
                <w:rFonts w:ascii="仿宋_GB2312" w:hAnsi="仿宋_GB2312" w:cs="仿宋_GB2312" w:eastAsia="仿宋_GB2312"/>
                <w:sz w:val="20"/>
              </w:rPr>
              <w:t>一、项目概况</w:t>
            </w:r>
          </w:p>
          <w:p>
            <w:pPr>
              <w:pStyle w:val="null3"/>
              <w:ind w:firstLine="400"/>
              <w:jc w:val="both"/>
            </w:pPr>
            <w:r>
              <w:rPr>
                <w:rFonts w:ascii="仿宋_GB2312" w:hAnsi="仿宋_GB2312" w:cs="仿宋_GB2312" w:eastAsia="仿宋_GB2312"/>
                <w:sz w:val="20"/>
              </w:rPr>
              <w:t>为保障航空基地</w:t>
            </w:r>
            <w:r>
              <w:rPr>
                <w:rFonts w:ascii="仿宋_GB2312" w:hAnsi="仿宋_GB2312" w:cs="仿宋_GB2312" w:eastAsia="仿宋_GB2312"/>
                <w:sz w:val="20"/>
              </w:rPr>
              <w:t>“</w:t>
            </w:r>
            <w:r>
              <w:rPr>
                <w:rFonts w:ascii="仿宋_GB2312" w:hAnsi="仿宋_GB2312" w:cs="仿宋_GB2312" w:eastAsia="仿宋_GB2312"/>
                <w:sz w:val="20"/>
              </w:rPr>
              <w:t>标准地</w:t>
            </w:r>
            <w:r>
              <w:rPr>
                <w:rFonts w:ascii="仿宋_GB2312" w:hAnsi="仿宋_GB2312" w:cs="仿宋_GB2312" w:eastAsia="仿宋_GB2312"/>
                <w:sz w:val="20"/>
              </w:rPr>
              <w:t>+承诺制</w:t>
            </w:r>
            <w:r>
              <w:rPr>
                <w:rFonts w:ascii="仿宋_GB2312" w:hAnsi="仿宋_GB2312" w:cs="仿宋_GB2312" w:eastAsia="仿宋_GB2312"/>
                <w:sz w:val="20"/>
              </w:rPr>
              <w:t>”</w:t>
            </w:r>
            <w:r>
              <w:rPr>
                <w:rFonts w:ascii="仿宋_GB2312" w:hAnsi="仿宋_GB2312" w:cs="仿宋_GB2312" w:eastAsia="仿宋_GB2312"/>
                <w:sz w:val="20"/>
              </w:rPr>
              <w:t>改革工作顺利开展，按照陕西省自然资源厅等十部门关于印发《陕西省</w:t>
            </w:r>
            <w:r>
              <w:rPr>
                <w:rFonts w:ascii="仿宋_GB2312" w:hAnsi="仿宋_GB2312" w:cs="仿宋_GB2312" w:eastAsia="仿宋_GB2312"/>
                <w:sz w:val="20"/>
              </w:rPr>
              <w:t>"标准地”改革工作指引》要求，完</w:t>
            </w:r>
            <w:r>
              <w:rPr>
                <w:rFonts w:ascii="仿宋_GB2312" w:hAnsi="仿宋_GB2312" w:cs="仿宋_GB2312" w:eastAsia="仿宋_GB2312"/>
                <w:sz w:val="20"/>
              </w:rPr>
              <w:t>成</w:t>
            </w:r>
            <w:r>
              <w:rPr>
                <w:rFonts w:ascii="仿宋_GB2312" w:hAnsi="仿宋_GB2312" w:cs="仿宋_GB2312" w:eastAsia="仿宋_GB2312"/>
                <w:sz w:val="21"/>
              </w:rPr>
              <w:t>区域</w:t>
            </w:r>
            <w:r>
              <w:rPr>
                <w:rFonts w:ascii="仿宋_GB2312" w:hAnsi="仿宋_GB2312" w:cs="仿宋_GB2312" w:eastAsia="仿宋_GB2312"/>
                <w:sz w:val="20"/>
              </w:rPr>
              <w:t>地质灾害危险性评估</w:t>
            </w:r>
            <w:r>
              <w:rPr>
                <w:rFonts w:ascii="仿宋_GB2312" w:hAnsi="仿宋_GB2312" w:cs="仿宋_GB2312" w:eastAsia="仿宋_GB2312"/>
                <w:sz w:val="20"/>
              </w:rPr>
              <w:t>工作。</w:t>
            </w:r>
          </w:p>
          <w:p>
            <w:pPr>
              <w:pStyle w:val="null3"/>
              <w:jc w:val="both"/>
            </w:pPr>
            <w:r>
              <w:rPr>
                <w:rFonts w:ascii="仿宋_GB2312" w:hAnsi="仿宋_GB2312" w:cs="仿宋_GB2312" w:eastAsia="仿宋_GB2312"/>
                <w:sz w:val="20"/>
              </w:rPr>
              <w:t>二、服务要求</w:t>
            </w:r>
          </w:p>
          <w:p>
            <w:pPr>
              <w:pStyle w:val="null3"/>
              <w:ind w:firstLine="400"/>
              <w:jc w:val="both"/>
            </w:pPr>
            <w:r>
              <w:rPr>
                <w:rFonts w:ascii="仿宋_GB2312" w:hAnsi="仿宋_GB2312" w:cs="仿宋_GB2312" w:eastAsia="仿宋_GB2312"/>
                <w:sz w:val="20"/>
              </w:rPr>
              <w:t>按</w:t>
            </w:r>
            <w:r>
              <w:rPr>
                <w:rFonts w:ascii="仿宋_GB2312" w:hAnsi="仿宋_GB2312" w:cs="仿宋_GB2312" w:eastAsia="仿宋_GB2312"/>
                <w:sz w:val="20"/>
              </w:rPr>
              <w:t>照《地质灾害危险性评估规范》</w:t>
            </w:r>
            <w:r>
              <w:rPr>
                <w:rFonts w:ascii="仿宋_GB2312" w:hAnsi="仿宋_GB2312" w:cs="仿宋_GB2312" w:eastAsia="仿宋_GB2312"/>
                <w:sz w:val="20"/>
              </w:rPr>
              <w:t>(</w:t>
            </w:r>
            <w:r>
              <w:rPr>
                <w:rFonts w:ascii="仿宋_GB2312" w:hAnsi="仿宋_GB2312" w:cs="仿宋_GB2312" w:eastAsia="仿宋_GB2312"/>
                <w:sz w:val="20"/>
              </w:rPr>
              <w:t>GB/T40112</w:t>
            </w:r>
            <w:r>
              <w:rPr>
                <w:rFonts w:ascii="仿宋_GB2312" w:hAnsi="仿宋_GB2312" w:cs="仿宋_GB2312" w:eastAsia="仿宋_GB2312"/>
                <w:sz w:val="20"/>
              </w:rPr>
              <w:t>-2021)</w:t>
            </w:r>
            <w:r>
              <w:rPr>
                <w:rFonts w:ascii="仿宋_GB2312" w:hAnsi="仿宋_GB2312" w:cs="仿宋_GB2312" w:eastAsia="仿宋_GB2312"/>
                <w:sz w:val="20"/>
              </w:rPr>
              <w:t>范要求</w:t>
            </w:r>
            <w:r>
              <w:rPr>
                <w:rFonts w:ascii="仿宋_GB2312" w:hAnsi="仿宋_GB2312" w:cs="仿宋_GB2312" w:eastAsia="仿宋_GB2312"/>
                <w:sz w:val="20"/>
              </w:rPr>
              <w:t>，充分收集资料，通过实地调查及资料分析，预测可能引发地质灾害的可能性及其危险性，进行地质灾害危险性综合分区评估并提出相应的防治措施建议。</w:t>
            </w:r>
          </w:p>
          <w:p>
            <w:pPr>
              <w:pStyle w:val="null3"/>
              <w:jc w:val="both"/>
            </w:pPr>
            <w:r>
              <w:rPr>
                <w:rFonts w:ascii="仿宋_GB2312" w:hAnsi="仿宋_GB2312" w:cs="仿宋_GB2312" w:eastAsia="仿宋_GB2312"/>
                <w:sz w:val="20"/>
              </w:rPr>
              <w:t>三、成果要求</w:t>
            </w:r>
          </w:p>
          <w:p>
            <w:pPr>
              <w:pStyle w:val="null3"/>
            </w:pPr>
            <w:r>
              <w:rPr>
                <w:rFonts w:ascii="仿宋_GB2312" w:hAnsi="仿宋_GB2312" w:cs="仿宋_GB2312" w:eastAsia="仿宋_GB2312"/>
                <w:sz w:val="21"/>
              </w:rPr>
              <w:t xml:space="preserve">        按照委托约定的内容提供正式成果（文本及相关附表、附图）</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标的名称：区域水土保持技术服务项目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center"/>
            </w:pPr>
            <w:r>
              <w:rPr>
                <w:rFonts w:ascii="仿宋_GB2312" w:hAnsi="仿宋_GB2312" w:cs="仿宋_GB2312" w:eastAsia="仿宋_GB2312"/>
                <w:sz w:val="24"/>
                <w:b/>
                <w:color w:val="000000"/>
              </w:rPr>
              <w:t>区域水土保持技术服务项目包</w:t>
            </w:r>
            <w:r>
              <w:rPr>
                <w:rFonts w:ascii="仿宋_GB2312" w:hAnsi="仿宋_GB2312" w:cs="仿宋_GB2312" w:eastAsia="仿宋_GB2312"/>
                <w:sz w:val="24"/>
                <w:b/>
                <w:color w:val="000000"/>
              </w:rPr>
              <w:t>2采购需求</w:t>
            </w:r>
          </w:p>
          <w:p>
            <w:pPr>
              <w:pStyle w:val="null3"/>
              <w:jc w:val="both"/>
            </w:pPr>
            <w:r>
              <w:rPr>
                <w:rFonts w:ascii="仿宋_GB2312" w:hAnsi="仿宋_GB2312" w:cs="仿宋_GB2312" w:eastAsia="仿宋_GB2312"/>
                <w:sz w:val="20"/>
              </w:rPr>
              <w:t>一、项目概况</w:t>
            </w:r>
          </w:p>
          <w:p>
            <w:pPr>
              <w:pStyle w:val="null3"/>
              <w:ind w:firstLine="400"/>
              <w:jc w:val="both"/>
            </w:pPr>
            <w:r>
              <w:rPr>
                <w:rFonts w:ascii="仿宋_GB2312" w:hAnsi="仿宋_GB2312" w:cs="仿宋_GB2312" w:eastAsia="仿宋_GB2312"/>
                <w:sz w:val="20"/>
              </w:rPr>
              <w:t>为保障航空基地</w:t>
            </w:r>
            <w:r>
              <w:rPr>
                <w:rFonts w:ascii="仿宋_GB2312" w:hAnsi="仿宋_GB2312" w:cs="仿宋_GB2312" w:eastAsia="仿宋_GB2312"/>
                <w:sz w:val="20"/>
              </w:rPr>
              <w:t>“</w:t>
            </w:r>
            <w:r>
              <w:rPr>
                <w:rFonts w:ascii="仿宋_GB2312" w:hAnsi="仿宋_GB2312" w:cs="仿宋_GB2312" w:eastAsia="仿宋_GB2312"/>
                <w:sz w:val="20"/>
              </w:rPr>
              <w:t>标准地</w:t>
            </w:r>
            <w:r>
              <w:rPr>
                <w:rFonts w:ascii="仿宋_GB2312" w:hAnsi="仿宋_GB2312" w:cs="仿宋_GB2312" w:eastAsia="仿宋_GB2312"/>
                <w:sz w:val="20"/>
              </w:rPr>
              <w:t>+承诺制</w:t>
            </w:r>
            <w:r>
              <w:rPr>
                <w:rFonts w:ascii="仿宋_GB2312" w:hAnsi="仿宋_GB2312" w:cs="仿宋_GB2312" w:eastAsia="仿宋_GB2312"/>
                <w:sz w:val="20"/>
              </w:rPr>
              <w:t>”</w:t>
            </w:r>
            <w:r>
              <w:rPr>
                <w:rFonts w:ascii="仿宋_GB2312" w:hAnsi="仿宋_GB2312" w:cs="仿宋_GB2312" w:eastAsia="仿宋_GB2312"/>
                <w:sz w:val="20"/>
              </w:rPr>
              <w:t>改革工作顺利开展，按照陕西省自然资源厅等十部门关于印发《陕西省</w:t>
            </w:r>
            <w:r>
              <w:rPr>
                <w:rFonts w:ascii="仿宋_GB2312" w:hAnsi="仿宋_GB2312" w:cs="仿宋_GB2312" w:eastAsia="仿宋_GB2312"/>
                <w:sz w:val="20"/>
              </w:rPr>
              <w:t>"标准地”改革工作指引》要求，完</w:t>
            </w:r>
            <w:r>
              <w:rPr>
                <w:rFonts w:ascii="仿宋_GB2312" w:hAnsi="仿宋_GB2312" w:cs="仿宋_GB2312" w:eastAsia="仿宋_GB2312"/>
                <w:sz w:val="20"/>
              </w:rPr>
              <w:t>成区域水土保持技术服务</w:t>
            </w:r>
            <w:r>
              <w:rPr>
                <w:rFonts w:ascii="仿宋_GB2312" w:hAnsi="仿宋_GB2312" w:cs="仿宋_GB2312" w:eastAsia="仿宋_GB2312"/>
                <w:sz w:val="20"/>
              </w:rPr>
              <w:t>工作。</w:t>
            </w:r>
          </w:p>
          <w:p>
            <w:pPr>
              <w:pStyle w:val="null3"/>
              <w:jc w:val="both"/>
            </w:pPr>
            <w:r>
              <w:rPr>
                <w:rFonts w:ascii="仿宋_GB2312" w:hAnsi="仿宋_GB2312" w:cs="仿宋_GB2312" w:eastAsia="仿宋_GB2312"/>
                <w:sz w:val="20"/>
              </w:rPr>
              <w:t>二、服务要求</w:t>
            </w:r>
          </w:p>
          <w:p>
            <w:pPr>
              <w:pStyle w:val="null3"/>
              <w:ind w:firstLine="400"/>
              <w:jc w:val="both"/>
            </w:pPr>
            <w:r>
              <w:rPr>
                <w:rFonts w:ascii="仿宋_GB2312" w:hAnsi="仿宋_GB2312" w:cs="仿宋_GB2312" w:eastAsia="仿宋_GB2312"/>
                <w:sz w:val="20"/>
              </w:rPr>
              <w:t>按</w:t>
            </w:r>
            <w:r>
              <w:rPr>
                <w:rFonts w:ascii="仿宋_GB2312" w:hAnsi="仿宋_GB2312" w:cs="仿宋_GB2312" w:eastAsia="仿宋_GB2312"/>
                <w:sz w:val="20"/>
              </w:rPr>
              <w:t>照《陕西省水利厅关于推行水土保持区域评估工作的意见》</w:t>
            </w:r>
            <w:r>
              <w:rPr>
                <w:rFonts w:ascii="仿宋_GB2312" w:hAnsi="仿宋_GB2312" w:cs="仿宋_GB2312" w:eastAsia="仿宋_GB2312"/>
                <w:sz w:val="20"/>
              </w:rPr>
              <w:t>(陕水保发〔2022〕13号</w:t>
            </w:r>
            <w:r>
              <w:rPr>
                <w:rFonts w:ascii="仿宋_GB2312" w:hAnsi="仿宋_GB2312" w:cs="仿宋_GB2312" w:eastAsia="仿宋_GB2312"/>
                <w:sz w:val="20"/>
              </w:rPr>
              <w:t>)</w:t>
            </w:r>
            <w:r>
              <w:rPr>
                <w:rFonts w:ascii="仿宋_GB2312" w:hAnsi="仿宋_GB2312" w:cs="仿宋_GB2312" w:eastAsia="仿宋_GB2312"/>
                <w:sz w:val="20"/>
              </w:rPr>
              <w:t>组织开展相关工作</w:t>
            </w:r>
            <w:r>
              <w:rPr>
                <w:rFonts w:ascii="仿宋_GB2312" w:hAnsi="仿宋_GB2312" w:cs="仿宋_GB2312" w:eastAsia="仿宋_GB2312"/>
                <w:sz w:val="20"/>
              </w:rPr>
              <w:t>，充分收集资料，通过实地调查及资料分析，</w:t>
            </w:r>
            <w:r>
              <w:rPr>
                <w:rFonts w:ascii="仿宋_GB2312" w:hAnsi="仿宋_GB2312" w:cs="仿宋_GB2312" w:eastAsia="仿宋_GB2312"/>
                <w:sz w:val="20"/>
              </w:rPr>
              <w:t>针对区域建设项目有可能造成水土流失的实际情况，本着实事求是，因害设防的原则编制</w:t>
            </w:r>
            <w:r>
              <w:rPr>
                <w:rFonts w:ascii="仿宋_GB2312" w:hAnsi="仿宋_GB2312" w:cs="仿宋_GB2312" w:eastAsia="仿宋_GB2312"/>
                <w:sz w:val="20"/>
              </w:rPr>
              <w:t>相关</w:t>
            </w:r>
            <w:r>
              <w:rPr>
                <w:rFonts w:ascii="仿宋_GB2312" w:hAnsi="仿宋_GB2312" w:cs="仿宋_GB2312" w:eastAsia="仿宋_GB2312"/>
                <w:sz w:val="20"/>
              </w:rPr>
              <w:t>报告书</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三、成果要求</w:t>
            </w:r>
          </w:p>
          <w:p>
            <w:pPr>
              <w:pStyle w:val="null3"/>
              <w:jc w:val="both"/>
            </w:pPr>
            <w:r>
              <w:rPr>
                <w:rFonts w:ascii="仿宋_GB2312" w:hAnsi="仿宋_GB2312" w:cs="仿宋_GB2312" w:eastAsia="仿宋_GB2312"/>
                <w:sz w:val="20"/>
              </w:rPr>
              <w:t>按照委托约定的内容提供正式成果（文本及相关附表、附图）</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标的名称：区域地震安全性评价项目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center"/>
            </w:pPr>
            <w:r>
              <w:rPr>
                <w:rFonts w:ascii="仿宋_GB2312" w:hAnsi="仿宋_GB2312" w:cs="仿宋_GB2312" w:eastAsia="仿宋_GB2312"/>
                <w:sz w:val="24"/>
                <w:b/>
                <w:color w:val="000000"/>
              </w:rPr>
              <w:t>区域地震安全性评价</w:t>
            </w:r>
            <w:r>
              <w:rPr>
                <w:rFonts w:ascii="仿宋_GB2312" w:hAnsi="仿宋_GB2312" w:cs="仿宋_GB2312" w:eastAsia="仿宋_GB2312"/>
                <w:sz w:val="24"/>
                <w:b/>
                <w:color w:val="000000"/>
              </w:rPr>
              <w:t>项目</w:t>
            </w:r>
            <w:r>
              <w:rPr>
                <w:rFonts w:ascii="仿宋_GB2312" w:hAnsi="仿宋_GB2312" w:cs="仿宋_GB2312" w:eastAsia="仿宋_GB2312"/>
                <w:sz w:val="24"/>
                <w:b/>
                <w:color w:val="000000"/>
              </w:rPr>
              <w:t>包</w:t>
            </w:r>
            <w:r>
              <w:rPr>
                <w:rFonts w:ascii="仿宋_GB2312" w:hAnsi="仿宋_GB2312" w:cs="仿宋_GB2312" w:eastAsia="仿宋_GB2312"/>
                <w:sz w:val="24"/>
                <w:b/>
                <w:color w:val="000000"/>
              </w:rPr>
              <w:t>3</w:t>
            </w:r>
            <w:r>
              <w:rPr>
                <w:rFonts w:ascii="仿宋_GB2312" w:hAnsi="仿宋_GB2312" w:cs="仿宋_GB2312" w:eastAsia="仿宋_GB2312"/>
                <w:sz w:val="24"/>
                <w:b/>
                <w:color w:val="000000"/>
              </w:rPr>
              <w:t>采购需求</w:t>
            </w:r>
          </w:p>
          <w:p>
            <w:pPr>
              <w:pStyle w:val="null3"/>
              <w:jc w:val="both"/>
            </w:pPr>
            <w:r>
              <w:rPr>
                <w:rFonts w:ascii="仿宋_GB2312" w:hAnsi="仿宋_GB2312" w:cs="仿宋_GB2312" w:eastAsia="仿宋_GB2312"/>
                <w:sz w:val="20"/>
              </w:rPr>
              <w:t>一、项目概况</w:t>
            </w:r>
          </w:p>
          <w:p>
            <w:pPr>
              <w:pStyle w:val="null3"/>
              <w:ind w:firstLine="400"/>
              <w:jc w:val="both"/>
            </w:pPr>
            <w:r>
              <w:rPr>
                <w:rFonts w:ascii="仿宋_GB2312" w:hAnsi="仿宋_GB2312" w:cs="仿宋_GB2312" w:eastAsia="仿宋_GB2312"/>
                <w:sz w:val="20"/>
              </w:rPr>
              <w:t>为保障航空基地</w:t>
            </w:r>
            <w:r>
              <w:rPr>
                <w:rFonts w:ascii="仿宋_GB2312" w:hAnsi="仿宋_GB2312" w:cs="仿宋_GB2312" w:eastAsia="仿宋_GB2312"/>
                <w:sz w:val="20"/>
              </w:rPr>
              <w:t>“</w:t>
            </w:r>
            <w:r>
              <w:rPr>
                <w:rFonts w:ascii="仿宋_GB2312" w:hAnsi="仿宋_GB2312" w:cs="仿宋_GB2312" w:eastAsia="仿宋_GB2312"/>
                <w:sz w:val="20"/>
              </w:rPr>
              <w:t>标准地</w:t>
            </w:r>
            <w:r>
              <w:rPr>
                <w:rFonts w:ascii="仿宋_GB2312" w:hAnsi="仿宋_GB2312" w:cs="仿宋_GB2312" w:eastAsia="仿宋_GB2312"/>
                <w:sz w:val="20"/>
              </w:rPr>
              <w:t>+承诺制</w:t>
            </w:r>
            <w:r>
              <w:rPr>
                <w:rFonts w:ascii="仿宋_GB2312" w:hAnsi="仿宋_GB2312" w:cs="仿宋_GB2312" w:eastAsia="仿宋_GB2312"/>
                <w:sz w:val="20"/>
              </w:rPr>
              <w:t>”</w:t>
            </w:r>
            <w:r>
              <w:rPr>
                <w:rFonts w:ascii="仿宋_GB2312" w:hAnsi="仿宋_GB2312" w:cs="仿宋_GB2312" w:eastAsia="仿宋_GB2312"/>
                <w:sz w:val="20"/>
              </w:rPr>
              <w:t>改革工作顺利开展，按照陕西省自然资源厅等十部门关于印发《陕西省</w:t>
            </w:r>
            <w:r>
              <w:rPr>
                <w:rFonts w:ascii="仿宋_GB2312" w:hAnsi="仿宋_GB2312" w:cs="仿宋_GB2312" w:eastAsia="仿宋_GB2312"/>
                <w:sz w:val="20"/>
              </w:rPr>
              <w:t>"标准地”改革工作指引》要求，完</w:t>
            </w:r>
            <w:r>
              <w:rPr>
                <w:rFonts w:ascii="仿宋_GB2312" w:hAnsi="仿宋_GB2312" w:cs="仿宋_GB2312" w:eastAsia="仿宋_GB2312"/>
                <w:sz w:val="20"/>
              </w:rPr>
              <w:t>成区域地震安全性评价工作。</w:t>
            </w:r>
          </w:p>
          <w:p>
            <w:pPr>
              <w:pStyle w:val="null3"/>
              <w:jc w:val="both"/>
            </w:pPr>
            <w:r>
              <w:rPr>
                <w:rFonts w:ascii="仿宋_GB2312" w:hAnsi="仿宋_GB2312" w:cs="仿宋_GB2312" w:eastAsia="仿宋_GB2312"/>
                <w:sz w:val="20"/>
              </w:rPr>
              <w:t>二、服务要求</w:t>
            </w:r>
          </w:p>
          <w:p>
            <w:pPr>
              <w:pStyle w:val="null3"/>
              <w:ind w:firstLine="400"/>
              <w:jc w:val="both"/>
            </w:pPr>
            <w:r>
              <w:rPr>
                <w:rFonts w:ascii="仿宋_GB2312" w:hAnsi="仿宋_GB2312" w:cs="仿宋_GB2312" w:eastAsia="仿宋_GB2312"/>
                <w:sz w:val="20"/>
              </w:rPr>
              <w:t>按</w:t>
            </w:r>
            <w:r>
              <w:rPr>
                <w:rFonts w:ascii="仿宋_GB2312" w:hAnsi="仿宋_GB2312" w:cs="仿宋_GB2312" w:eastAsia="仿宋_GB2312"/>
                <w:sz w:val="20"/>
              </w:rPr>
              <w:t>照《关于印发〈陕西省区域性地震安全性评价管理办法</w:t>
            </w:r>
            <w:r>
              <w:rPr>
                <w:rFonts w:ascii="仿宋_GB2312" w:hAnsi="仿宋_GB2312" w:cs="仿宋_GB2312" w:eastAsia="仿宋_GB2312"/>
                <w:sz w:val="20"/>
              </w:rPr>
              <w:t>(暂行)&gt;的通知》(陕震发〔2019〕20号)、《关于印发&lt;陕西省地震安全性评价报告技术审查细则&gt;的通知》(陕震发〔2022〕45号)组织开展相关工作</w:t>
            </w:r>
            <w:r>
              <w:rPr>
                <w:rFonts w:ascii="仿宋_GB2312" w:hAnsi="仿宋_GB2312" w:cs="仿宋_GB2312" w:eastAsia="仿宋_GB2312"/>
                <w:sz w:val="20"/>
              </w:rPr>
              <w:t>，充分收集资料，通过实地调查及资料分析，</w:t>
            </w:r>
            <w:r>
              <w:rPr>
                <w:rFonts w:ascii="仿宋_GB2312" w:hAnsi="仿宋_GB2312" w:cs="仿宋_GB2312" w:eastAsia="仿宋_GB2312"/>
                <w:sz w:val="21"/>
              </w:rPr>
              <w:t>编制</w:t>
            </w:r>
            <w:r>
              <w:rPr>
                <w:rFonts w:ascii="仿宋_GB2312" w:hAnsi="仿宋_GB2312" w:cs="仿宋_GB2312" w:eastAsia="仿宋_GB2312"/>
                <w:sz w:val="21"/>
              </w:rPr>
              <w:t>相关</w:t>
            </w:r>
            <w:r>
              <w:rPr>
                <w:rFonts w:ascii="仿宋_GB2312" w:hAnsi="仿宋_GB2312" w:cs="仿宋_GB2312" w:eastAsia="仿宋_GB2312"/>
                <w:sz w:val="21"/>
              </w:rPr>
              <w:t>报告书</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三、成果要求</w:t>
            </w:r>
          </w:p>
          <w:p>
            <w:pPr>
              <w:pStyle w:val="null3"/>
            </w:pPr>
            <w:r>
              <w:rPr>
                <w:rFonts w:ascii="仿宋_GB2312" w:hAnsi="仿宋_GB2312" w:cs="仿宋_GB2312" w:eastAsia="仿宋_GB2312"/>
                <w:sz w:val="21"/>
              </w:rPr>
              <w:t xml:space="preserve">        按照委托约定的内容提供正式成果（文本及相关附表、附图）</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拟投入本项目组成员需具备相关专业职称证。</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拟投入本项目组成员需具备相关专业职称证。</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拟投入本项目组成员需具备相关专业职称证。</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拟投入本项目的设施设备需满足采购需求且配备齐全。</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拟投入本项目的设施设备需满足采购需求且配备齐全。</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拟投入本项目的设施设备需满足采购需求且配备齐全。</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1年内</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1年内</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1年内</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满足国家及行业相关标准及要求“合格”。 由采购人和成交供应商共同对项目进行验收填写验收单。其内容包括是否按照采购人要求进行服务、是否在规定时间内服务完毕。</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满足国家及行业相关标准及要求“合格”。由采购人和成交供应商共同对项目进行验收填写验收单。其内容包括是否按照采购人要求进行服务、是否在规定 时间内服务完毕。</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满足国家及行业相关标准及要求“合格”。由采购人和成交供应商共同对项目进行验收填写验收单。其内容包括是否按照采购人要求进行服务、是否在规定 时间内服务完毕。</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合同签订之后，待项目全部完成之后甲方支付合同总价款的100%。甲方付款前，乙方应向甲方出具等额有效的增值税普通发票</w:t>
      </w:r>
      <w:r>
        <w:rPr>
          <w:rFonts w:ascii="仿宋_GB2312" w:hAnsi="仿宋_GB2312" w:cs="仿宋_GB2312" w:eastAsia="仿宋_GB2312"/>
        </w:rPr>
        <w:t xml:space="preserve"> ，达到付款条件起 </w:t>
      </w:r>
      <w:r>
        <w:rPr>
          <w:rFonts w:ascii="仿宋_GB2312" w:hAnsi="仿宋_GB2312" w:cs="仿宋_GB2312" w:eastAsia="仿宋_GB2312"/>
        </w:rPr>
        <w:t>90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合同签订之后，待项目全部完成之后甲方支付合同总价款的100%。甲方付款前，乙方应向甲方出具等额有效的增值税普通发票</w:t>
      </w:r>
      <w:r>
        <w:rPr>
          <w:rFonts w:ascii="仿宋_GB2312" w:hAnsi="仿宋_GB2312" w:cs="仿宋_GB2312" w:eastAsia="仿宋_GB2312"/>
        </w:rPr>
        <w:t xml:space="preserve"> ，达到付款条件起 </w:t>
      </w:r>
      <w:r>
        <w:rPr>
          <w:rFonts w:ascii="仿宋_GB2312" w:hAnsi="仿宋_GB2312" w:cs="仿宋_GB2312" w:eastAsia="仿宋_GB2312"/>
        </w:rPr>
        <w:t>90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pPr>
      <w:r>
        <w:rPr>
          <w:rFonts w:ascii="仿宋_GB2312" w:hAnsi="仿宋_GB2312" w:cs="仿宋_GB2312" w:eastAsia="仿宋_GB2312"/>
        </w:rPr>
        <w:t>采购包3：</w:t>
      </w:r>
      <w:r>
        <w:rPr>
          <w:rFonts w:ascii="仿宋_GB2312" w:hAnsi="仿宋_GB2312" w:cs="仿宋_GB2312" w:eastAsia="仿宋_GB2312"/>
        </w:rPr>
        <w:t xml:space="preserve"> 付款条件说明： </w:t>
      </w:r>
      <w:r>
        <w:rPr>
          <w:rFonts w:ascii="仿宋_GB2312" w:hAnsi="仿宋_GB2312" w:cs="仿宋_GB2312" w:eastAsia="仿宋_GB2312"/>
        </w:rPr>
        <w:t>合同签订之后，待项目全部完成之后甲方支付合同总价款的100%。甲方付款前，乙方应向甲方出具等额有效的增值税普通发票</w:t>
      </w:r>
      <w:r>
        <w:rPr>
          <w:rFonts w:ascii="仿宋_GB2312" w:hAnsi="仿宋_GB2312" w:cs="仿宋_GB2312" w:eastAsia="仿宋_GB2312"/>
        </w:rPr>
        <w:t xml:space="preserve"> ，达到付款条件起 </w:t>
      </w:r>
      <w:r>
        <w:rPr>
          <w:rFonts w:ascii="仿宋_GB2312" w:hAnsi="仿宋_GB2312" w:cs="仿宋_GB2312" w:eastAsia="仿宋_GB2312"/>
        </w:rPr>
        <w:t>90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（一）违约责任：1.在合同履行期间，甲方要求终止或解除合同，不退还已付的合同价款，乙方已开始工 作的，甲方应根据乙方已进行的实际工作量，据实支付服务费用； 2. 由于乙方的错误，给甲方造成经济损失时，乙方应及时采取措施予以补救，并 视损失大小，减收或免除损失部分的服务费用。 （二）合同争议解决的方式：因履行本合同引起的或与本合同有关的争议，甲、乙双方应首先通过友好协商解决，如果协商不能解决争议，则采取向西安仲裁委员会提请仲裁方式解决争议。</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（一）违约责任：1.在合同履行期间，甲方要求终止或解除合同，不退还已付的合同价款，乙方已开始工作的，甲方应根据乙方已进行的实际工作量，据实支付服务费用； 2. 由于乙方的错误，给甲方造成经济损失时，乙方应及时采取措施予以补救，并视损失大小，减收或免除损失部分的服务费用。 （二）合同争议解决的方式：因履行本合同引起的或与本合同有关的争议，甲、乙双方应首先通过友好协商解决，如果协商不能解决争议，则采取向西安仲裁委员会提请仲裁方式解决争议。</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（一）违约责任：1.在合同履行期间，甲方要求终止或解除合同，不退还已付的合同价款，乙方已开始工 作的，甲方应根据乙方已进行的实际工作量，据实支付服务费用； 2. 由于乙方的错误，给甲方造成经济损失时，乙方应及时采取措施予以补救，并 视损失大小，减收或免除损失部分的服务费用。 （二）合同争议解决的方式：因履行本合同引起的或与本合同有关的争议，甲、乙双方应首先通过友好协商解决，如果协商不能解决争议，则采取向西安仲裁委员会提请仲裁方式解决争议。</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1、其他未列明行业。从业人员 300 人以下的为中小微型企业。其中从业人员 100 人及以上的为中型企业；从业人员 10 人及以上的为小型企业；从业人员 10 人及以下的为为微型企业。</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①、供应商须具备独立承担民事责任能力的法人、其他组织或自然人，提供营业执照或事业单位法人证书；自然人参与的提供其身份证明；②、依法缴纳税收和社会保障资金的良好记录。依法缴纳税收的良好记录（提供截止至开标时间前12个月内任一月份的缴费凭据,依法免税的单位应提供相关证明材料）；依法缴纳社会保障资金的良好记录（提供截止至开标时间前12个月内任一月份的缴费凭据或社保机构开具的社会保险参保缴费情况证明，依法不需要缴纳社会保障资金的单位应提供相关证明材料）；③、供应商参加政府采购活动前3年内在经营活动中没有重大违法记录的书面声明；④、提供履行合同所必需的设备和专业技术能力的承诺。</w:t>
            </w:r>
          </w:p>
        </w:tc>
        <w:tc>
          <w:tcPr>
            <w:tcW w:type="dxa" w:w="1661"/>
          </w:tcPr>
          <w:p>
            <w:pPr>
              <w:pStyle w:val="null3"/>
            </w:pPr>
            <w:r>
              <w:rPr>
                <w:rFonts w:ascii="仿宋_GB2312" w:hAnsi="仿宋_GB2312" w:cs="仿宋_GB2312" w:eastAsia="仿宋_GB2312"/>
              </w:rPr>
              <w:t>资格证明.pdf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供应商须提供2024年度或2025年度的财务报告；或其基本开户银行出具的资信证明；或投标担保函（以上三种形式的资料提供任何一种即可）。</w:t>
            </w:r>
          </w:p>
        </w:tc>
        <w:tc>
          <w:tcPr>
            <w:tcW w:type="dxa" w:w="1661"/>
          </w:tcPr>
          <w:p>
            <w:pPr>
              <w:pStyle w:val="null3"/>
            </w:pPr>
            <w:r>
              <w:rPr>
                <w:rFonts w:ascii="仿宋_GB2312" w:hAnsi="仿宋_GB2312" w:cs="仿宋_GB2312" w:eastAsia="仿宋_GB2312"/>
              </w:rPr>
              <w:t>资格证明.pdf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供应商需在项目电子化交易系统中按要求填写《响应函》完成承诺并进行电子签章。提供控股管理关系说明：若与其他投标人存在单位负责人为同一人或者存在直接控股、管理关系的，则投标无效。</w:t>
            </w:r>
          </w:p>
        </w:tc>
        <w:tc>
          <w:tcPr>
            <w:tcW w:type="dxa" w:w="1661"/>
          </w:tcPr>
          <w:p>
            <w:pPr>
              <w:pStyle w:val="null3"/>
            </w:pPr>
            <w:r>
              <w:rPr>
                <w:rFonts w:ascii="仿宋_GB2312" w:hAnsi="仿宋_GB2312" w:cs="仿宋_GB2312" w:eastAsia="仿宋_GB2312"/>
              </w:rPr>
              <w:t>资格证明.pdf 响应函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①、供应商须具备独立承担民事责任能力的法人、其他组织或自然人，提供营业执照或事业单位法人证书；自然人参与的提供其身份证明；②、依法缴纳税收和社会保障资金的良好记录。依法缴纳税收的良好记录（提供截止至开标时间前12个月内任一月份的缴费凭据,依法免税的单位应提供相关证明材料）；依法缴纳社会保障资金的良好记录（提供截止至开标时间前12个月内任一月份的缴费凭据或社保机构开具的社会保险参保缴费情况证明，依法不需要缴纳社会保障资金的单位应提供相关证明材料）；③、供应商参加政府采购活动前3年内在经营活动中没有重大违法记录的书面声明；④、提供履行合同所必需的设备和专业技术能力的承诺。</w:t>
            </w:r>
          </w:p>
        </w:tc>
        <w:tc>
          <w:tcPr>
            <w:tcW w:type="dxa" w:w="1661"/>
          </w:tcPr>
          <w:p>
            <w:pPr>
              <w:pStyle w:val="null3"/>
            </w:pPr>
            <w:r>
              <w:rPr>
                <w:rFonts w:ascii="仿宋_GB2312" w:hAnsi="仿宋_GB2312" w:cs="仿宋_GB2312" w:eastAsia="仿宋_GB2312"/>
              </w:rPr>
              <w:t>资格证明.pdf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供应商须提供2024年度或2025年度的财务报告；或其基本开户银行出具的资信证明；或投标担保函（以上三种形式的资料提供任何一种即可）。</w:t>
            </w:r>
          </w:p>
        </w:tc>
        <w:tc>
          <w:tcPr>
            <w:tcW w:type="dxa" w:w="1661"/>
          </w:tcPr>
          <w:p>
            <w:pPr>
              <w:pStyle w:val="null3"/>
            </w:pPr>
            <w:r>
              <w:rPr>
                <w:rFonts w:ascii="仿宋_GB2312" w:hAnsi="仿宋_GB2312" w:cs="仿宋_GB2312" w:eastAsia="仿宋_GB2312"/>
              </w:rPr>
              <w:t>资格证明.pdf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供应商需在项目电子化交易系统中按要求填写《响应函》完成承诺并进行电子签章。提供控股管理关系说明：若与其他投标人存在单位负责人为同一人或者存在直接控股、管理关系的，则投标无效。</w:t>
            </w:r>
          </w:p>
        </w:tc>
        <w:tc>
          <w:tcPr>
            <w:tcW w:type="dxa" w:w="1661"/>
          </w:tcPr>
          <w:p>
            <w:pPr>
              <w:pStyle w:val="null3"/>
            </w:pPr>
            <w:r>
              <w:rPr>
                <w:rFonts w:ascii="仿宋_GB2312" w:hAnsi="仿宋_GB2312" w:cs="仿宋_GB2312" w:eastAsia="仿宋_GB2312"/>
              </w:rPr>
              <w:t>资格证明.pdf 响应函</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①、供应商须具备独立承担民事责任能力的法人、其他组织或自然人，提供营业执照或事业单位法人证书；自然人参与的提供其身份证明；②、依法缴纳税收和社会保障资金的良好记录。依法缴纳税收的良好记录（提供截止至开标时间前12个月内任一月份的缴费凭据,依法免税的单位应提供相关证明材料）；依法缴纳社会保障资金的良好记录（提供截止至开标时间前12个月内任一月份的缴费凭据或社保机构开具的社会保险参保缴费情况证明，依法不需要缴纳社会保障资金的单位应提供相关证明材料）；③、供应商参加政府采购活动前3年内在经营活动中没有重大违法记录的书面声明；④、提供履行合同所必需的设备和专业技术能力的承诺。</w:t>
            </w:r>
          </w:p>
        </w:tc>
        <w:tc>
          <w:tcPr>
            <w:tcW w:type="dxa" w:w="1661"/>
          </w:tcPr>
          <w:p>
            <w:pPr>
              <w:pStyle w:val="null3"/>
            </w:pPr>
            <w:r>
              <w:rPr>
                <w:rFonts w:ascii="仿宋_GB2312" w:hAnsi="仿宋_GB2312" w:cs="仿宋_GB2312" w:eastAsia="仿宋_GB2312"/>
              </w:rPr>
              <w:t>资格证明.pdf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供应商须提供2024年度或2025年度的财务报告；或其基本开户银行出具的资信证明；或投标担保函（以上三种形式的资料提供任何一种即可）。</w:t>
            </w:r>
          </w:p>
        </w:tc>
        <w:tc>
          <w:tcPr>
            <w:tcW w:type="dxa" w:w="1661"/>
          </w:tcPr>
          <w:p>
            <w:pPr>
              <w:pStyle w:val="null3"/>
            </w:pPr>
            <w:r>
              <w:rPr>
                <w:rFonts w:ascii="仿宋_GB2312" w:hAnsi="仿宋_GB2312" w:cs="仿宋_GB2312" w:eastAsia="仿宋_GB2312"/>
              </w:rPr>
              <w:t>资格证明.pdf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供应商需在项目电子化交易系统中按要求填写《响应函》完成承诺并进行电子签章。提供控股管理关系说明：若与其他投标人存在单位负责人为同一人或者存在直接控股、管理关系的，则投标无效。</w:t>
            </w:r>
          </w:p>
        </w:tc>
        <w:tc>
          <w:tcPr>
            <w:tcW w:type="dxa" w:w="1661"/>
          </w:tcPr>
          <w:p>
            <w:pPr>
              <w:pStyle w:val="null3"/>
            </w:pPr>
            <w:r>
              <w:rPr>
                <w:rFonts w:ascii="仿宋_GB2312" w:hAnsi="仿宋_GB2312" w:cs="仿宋_GB2312" w:eastAsia="仿宋_GB2312"/>
              </w:rPr>
              <w:t>资格证明.pdf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授权书及被授权人身份证（法定代表人直接参加磋商的须提供其法定代表人身份证，法定代表人授权代表参加磋商的，须出具法定代表人授权书及被授权人在本单位的社保缴纳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资格证明.pdf</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特定资质</w:t>
            </w:r>
          </w:p>
        </w:tc>
        <w:tc>
          <w:tcPr>
            <w:tcW w:type="dxa" w:w="3322"/>
          </w:tcPr>
          <w:p>
            <w:pPr>
              <w:pStyle w:val="null3"/>
            </w:pPr>
            <w:r>
              <w:rPr>
                <w:rFonts w:ascii="仿宋_GB2312" w:hAnsi="仿宋_GB2312" w:cs="仿宋_GB2312" w:eastAsia="仿宋_GB2312"/>
              </w:rPr>
              <w:t>供应商需具备行政主管部门颁发且有效的地质灾害评估和治理工程勘查设计乙级及以上资。</w:t>
            </w:r>
          </w:p>
        </w:tc>
        <w:tc>
          <w:tcPr>
            <w:tcW w:type="dxa" w:w="1661"/>
          </w:tcPr>
          <w:p>
            <w:pPr>
              <w:pStyle w:val="null3"/>
            </w:pPr>
            <w:r>
              <w:rPr>
                <w:rFonts w:ascii="仿宋_GB2312" w:hAnsi="仿宋_GB2312" w:cs="仿宋_GB2312" w:eastAsia="仿宋_GB2312"/>
              </w:rPr>
              <w:t>资格证明.pdf</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授权书及被授权人身份证（法定代表人直接参加磋商的须提供其法定代表人身份证，法定代表人授权代表参加磋商的，须出具法定代表人授权书及被授权人在本单位的社保缴纳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资格证明.pdf</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授权书及被授权人身份证（法定代表人直接参加磋商的须提供其法定代表人身份证，法定代表人授权代表参加磋商的，须出具法定代表人授权书及被授权人在本单位的社保缴纳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资格证明.pdf</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磋商内容、响应文件的签署、盖章、磋商报价、磋商有效期、服务期、付款方式</w:t>
            </w:r>
          </w:p>
        </w:tc>
        <w:tc>
          <w:tcPr>
            <w:tcW w:type="dxa" w:w="3322"/>
          </w:tcPr>
          <w:p>
            <w:pPr>
              <w:pStyle w:val="null3"/>
            </w:pPr>
            <w:r>
              <w:rPr>
                <w:rFonts w:ascii="仿宋_GB2312" w:hAnsi="仿宋_GB2312" w:cs="仿宋_GB2312" w:eastAsia="仿宋_GB2312"/>
              </w:rPr>
              <w:t xml:space="preserve"> 1、响应文件的签署、盖章是否按要求签字、盖章； 2、磋商报价是否唯一，且没有超过最高限价；3、磋商有效期是否满足要求；4、服务期是否满足要求；5、付款方式是否完全响应。</w:t>
            </w:r>
          </w:p>
        </w:tc>
        <w:tc>
          <w:tcPr>
            <w:tcW w:type="dxa" w:w="1661"/>
          </w:tcPr>
          <w:p>
            <w:pPr>
              <w:pStyle w:val="null3"/>
            </w:pPr>
            <w:r>
              <w:rPr>
                <w:rFonts w:ascii="仿宋_GB2312" w:hAnsi="仿宋_GB2312" w:cs="仿宋_GB2312" w:eastAsia="仿宋_GB2312"/>
              </w:rPr>
              <w:t>业绩.docx 商务条款偏离表.pdf 中小企业声明函 报价表 响应文件封面 拒绝政府采购领域商业贿赂承诺书.pdf 资格证明.pdf 残疾人福利性单位声明函 服务方案 标的清单 响应函 供应商认为有必要补充说明的事宜.docx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磋商内容、响应文件的签署、盖章、磋商报价、磋商有效期、服务期、付款方式</w:t>
            </w:r>
          </w:p>
        </w:tc>
        <w:tc>
          <w:tcPr>
            <w:tcW w:type="dxa" w:w="3322"/>
          </w:tcPr>
          <w:p>
            <w:pPr>
              <w:pStyle w:val="null3"/>
            </w:pPr>
            <w:r>
              <w:rPr>
                <w:rFonts w:ascii="仿宋_GB2312" w:hAnsi="仿宋_GB2312" w:cs="仿宋_GB2312" w:eastAsia="仿宋_GB2312"/>
              </w:rPr>
              <w:t xml:space="preserve"> 1、响应文件的签署、盖章是否按要求签字、盖章； 2、磋商报价是否唯一，且没有超过最高限价；3、磋商有效期是否满足要求；4、服务期是否满足要求；5、付款方式是否完全响应。</w:t>
            </w:r>
          </w:p>
        </w:tc>
        <w:tc>
          <w:tcPr>
            <w:tcW w:type="dxa" w:w="1661"/>
          </w:tcPr>
          <w:p>
            <w:pPr>
              <w:pStyle w:val="null3"/>
            </w:pPr>
            <w:r>
              <w:rPr>
                <w:rFonts w:ascii="仿宋_GB2312" w:hAnsi="仿宋_GB2312" w:cs="仿宋_GB2312" w:eastAsia="仿宋_GB2312"/>
              </w:rPr>
              <w:t>业绩.docx 商务条款偏离表.pdf 中小企业声明函 报价表 响应文件封面 拒绝政府采购领域商业贿赂承诺书.pdf 资格证明.pdf 残疾人福利性单位声明函 服务方案 标的清单 响应函 供应商认为有必要补充说明的事宜.docx 监狱企业的证明文件</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磋商内容、响应文件的签署、盖章、磋商报价、磋商有效期、服务期、付款方式</w:t>
            </w:r>
          </w:p>
        </w:tc>
        <w:tc>
          <w:tcPr>
            <w:tcW w:type="dxa" w:w="3322"/>
          </w:tcPr>
          <w:p>
            <w:pPr>
              <w:pStyle w:val="null3"/>
            </w:pPr>
            <w:r>
              <w:rPr>
                <w:rFonts w:ascii="仿宋_GB2312" w:hAnsi="仿宋_GB2312" w:cs="仿宋_GB2312" w:eastAsia="仿宋_GB2312"/>
              </w:rPr>
              <w:t xml:space="preserve"> 1、响应文件的签署、盖章是否按要求签字、盖章； 2、磋商报价是否唯一，且没有超过最高限价；3、磋商有效期是否满足要求；4、服务期是否满足要求；5、付款方式是否完全响应。</w:t>
            </w:r>
          </w:p>
        </w:tc>
        <w:tc>
          <w:tcPr>
            <w:tcW w:type="dxa" w:w="1661"/>
          </w:tcPr>
          <w:p>
            <w:pPr>
              <w:pStyle w:val="null3"/>
            </w:pPr>
            <w:r>
              <w:rPr>
                <w:rFonts w:ascii="仿宋_GB2312" w:hAnsi="仿宋_GB2312" w:cs="仿宋_GB2312" w:eastAsia="仿宋_GB2312"/>
              </w:rPr>
              <w:t>业绩.docx 商务条款偏离表.pdf 中小企业声明函 报价表 响应文件封面 拒绝政府采购领域商业贿赂承诺书.pdf 资格证明.pdf 残疾人福利性单位声明函 服务方案 标的清单 响应函 供应商认为有必要补充说明的事宜.docx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2：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3：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采购包2：</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采购包3：</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根据各供应商提供的对项目的实施方案响应情况进行评审，每个评审因素最高得5分，本项最高得30分。1.评审因素：①项目组织架构；②实施标准；③工作方法；④工作部署与进度安排；⑤拟投入专业设施和设备；⑥技术报告编写；2.每个评审因素的评审标准为:①方案完全满足且有优于要求的得5分；②方案完全满足要求的得3分；③方案部分不满足要求的得1分；④方案完全不满足或未提供的不得分。【注：未提供方案或与评审因素无关的不得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重点、难点分析及解决措施</w:t>
            </w:r>
          </w:p>
        </w:tc>
        <w:tc>
          <w:tcPr>
            <w:tcW w:type="dxa" w:w="2492"/>
          </w:tcPr>
          <w:p>
            <w:pPr>
              <w:pStyle w:val="null3"/>
            </w:pPr>
            <w:r>
              <w:rPr>
                <w:rFonts w:ascii="仿宋_GB2312" w:hAnsi="仿宋_GB2312" w:cs="仿宋_GB2312" w:eastAsia="仿宋_GB2312"/>
              </w:rPr>
              <w:t>根据各供应商提供的对项目的重点、难点分析及解决措施响应情况进行评审，每个评审因素最高得4分，本项最高得12分。1.评审因素：①重、难点分析；②风险点分析；③解决方案；2.每个评审因素的评审标准为:①方案完全满足且有优于要求的得4分；②方案完全满足要求的得2分；③方案部分不满足要求的得1分；④方案完全不满足或未提供的不得分。【注：未提供方案或与评审因素无关的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管理制度</w:t>
            </w:r>
          </w:p>
        </w:tc>
        <w:tc>
          <w:tcPr>
            <w:tcW w:type="dxa" w:w="2492"/>
          </w:tcPr>
          <w:p>
            <w:pPr>
              <w:pStyle w:val="null3"/>
            </w:pPr>
            <w:r>
              <w:rPr>
                <w:rFonts w:ascii="仿宋_GB2312" w:hAnsi="仿宋_GB2312" w:cs="仿宋_GB2312" w:eastAsia="仿宋_GB2312"/>
              </w:rPr>
              <w:t>根据各供应商提供的对项目的管理制度响应情况进行评审，每个评审因素最高得3分，本项最高得9分。1.评审因素：①业务质量控制制度；②档案管理制度；③风险控制制度；2.每个评审因素的评审标准为:①方案完全满足且有优于要求的得3分；②方案完全满足要求的得2分；③方案部分不满足要求的得1分；④方案完全不满足或未提供的不得分。【注：未提供方案或与评审因素无关的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保证措施方案</w:t>
            </w:r>
          </w:p>
        </w:tc>
        <w:tc>
          <w:tcPr>
            <w:tcW w:type="dxa" w:w="2492"/>
          </w:tcPr>
          <w:p>
            <w:pPr>
              <w:pStyle w:val="null3"/>
            </w:pPr>
            <w:r>
              <w:rPr>
                <w:rFonts w:ascii="仿宋_GB2312" w:hAnsi="仿宋_GB2312" w:cs="仿宋_GB2312" w:eastAsia="仿宋_GB2312"/>
              </w:rPr>
              <w:t>根据各供应商提供的对项目的保证措施方案响应情况进行评审，每个评审因素最高得4分，本项最高得12分。1.评审因素：①项目进度保障措施；②成果保证措施；③安全保证措施；2.每个评审因素的评审标准为:①方案完全满足且有优于要求的得4分；②方案完全满足要求的得2分；③方案部分不满足要求的得1分；④方案完全不满足或未提供的不得分。【注：未提供方案或与评审因素无关的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根据各供应商提供的对项目的服务承诺响应情况进行评审，每个评审因素最高得3分，本项最高得12分。1.评审因素：①服务质量；②数据准确性；③服务响应时间；④服务期内团队稳定性； 2.每个评审因素的评审标准为:①方案完全满足且有优于要求的得3分；②方案完全满足要求的得2分；③方案部分不满足要求的得1分；④方案完全不满足或未提供的不得分。【注：未提供方案或与评审因素无关的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项目人员配备</w:t>
            </w:r>
          </w:p>
        </w:tc>
        <w:tc>
          <w:tcPr>
            <w:tcW w:type="dxa" w:w="2492"/>
          </w:tcPr>
          <w:p>
            <w:pPr>
              <w:pStyle w:val="null3"/>
            </w:pPr>
            <w:r>
              <w:rPr>
                <w:rFonts w:ascii="仿宋_GB2312" w:hAnsi="仿宋_GB2312" w:cs="仿宋_GB2312" w:eastAsia="仿宋_GB2312"/>
              </w:rPr>
              <w:t>项目负责人（2分）：项目负责人具有相关专业高级技术职称得2分，中级技术职称得1分，其它不得分； 其他专业技术人员（3分）：拟派本项目其他专业技术人员具有相关专业中级及以上职称的，每配备一名得1分，最高计3分；（注：以上人员不重复计分）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供应商具有2023年04月01日至今的类似项目业绩，每提供一个计 1 分，满分 5 分。注：须提供中标通知书或合同（协议）复印件并加盖公章，以中标通知书或合同（协议）签订时间为准，不提供者不计分。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计算，即满足磋商文件要求且磋商价格最低的磋商报价为评审基准价，其价格分为满分。其他供应商的价格统一按照下列公式计算：磋商报价得分=（磋商基准价/最后磋商报价）×价格权值×100注：磋商小组三分之二以上成员认为某磋商报价有低于成本价嫌疑的，涉嫌不正当竞争的，为无效报价。</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根据各供应商提供的对项目的实施方案响应情况进行评审，每个评审因素最高得5分，本项最高得30分。 1.评审因素：①项目组织架构；②实施标准；③工作方法；④工作部署与进度安排；⑤拟投入专业设施和设备；⑥技术报告编写； 2.每个评审因素的评审标准为: ①方案完全满足且有优于要求的得5分； ②方案完全满足要求的得3分； ③方案部分不满足要求的得1分； ④方案完全不满足或未提供的不得分。 【注：未提供方案或与评审因素无关的不得分】。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重点、难点分析及解决措施</w:t>
            </w:r>
          </w:p>
        </w:tc>
        <w:tc>
          <w:tcPr>
            <w:tcW w:type="dxa" w:w="2492"/>
          </w:tcPr>
          <w:p>
            <w:pPr>
              <w:pStyle w:val="null3"/>
            </w:pPr>
            <w:r>
              <w:rPr>
                <w:rFonts w:ascii="仿宋_GB2312" w:hAnsi="仿宋_GB2312" w:cs="仿宋_GB2312" w:eastAsia="仿宋_GB2312"/>
              </w:rPr>
              <w:t>根据各供应商提供的对项目的重点、难点分析及解决措施响应情况进行评审，每个评审因素最高得4分，本项最高得12分。1.评审因素：①重、难点分析；②风险点分析；③解决方案；2.每个评审因素的评审标准为:①方案完全满足且有优于要求的得4分；②方案完全满足要求的得2分；③方案部分不满足要求的得1分；④方案完全不满足或未提供的不得分。【注：未提供方案或与评审因素无关的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管理制度</w:t>
            </w:r>
          </w:p>
        </w:tc>
        <w:tc>
          <w:tcPr>
            <w:tcW w:type="dxa" w:w="2492"/>
          </w:tcPr>
          <w:p>
            <w:pPr>
              <w:pStyle w:val="null3"/>
            </w:pPr>
            <w:r>
              <w:rPr>
                <w:rFonts w:ascii="仿宋_GB2312" w:hAnsi="仿宋_GB2312" w:cs="仿宋_GB2312" w:eastAsia="仿宋_GB2312"/>
              </w:rPr>
              <w:t>根据各供应商提供的对项目的管理制度响应情况进行评审，每个评审因素最高得3分，本项最高得9分。1.评审因素：①业务质量控制制度；②档案管理制度；③风险控制制度；2.每个评审因素的评审标准为:①方案完全满足且有优于要求的得3分；②方案完全满足要求的得2分；③方案部分不满足要求的得1分；④方案完全不满足或未提供的不得分。【注：未提供方案或与评审因素无关的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保证措施方案</w:t>
            </w:r>
          </w:p>
        </w:tc>
        <w:tc>
          <w:tcPr>
            <w:tcW w:type="dxa" w:w="2492"/>
          </w:tcPr>
          <w:p>
            <w:pPr>
              <w:pStyle w:val="null3"/>
            </w:pPr>
            <w:r>
              <w:rPr>
                <w:rFonts w:ascii="仿宋_GB2312" w:hAnsi="仿宋_GB2312" w:cs="仿宋_GB2312" w:eastAsia="仿宋_GB2312"/>
              </w:rPr>
              <w:t>根据各供应商提供的对项目的保证措施方案响应情况进行评审，每个评审因素最高得4分，本项最高得12分。1.评审因素：①项目进度保障措施；②成果保证措施；③安全保证措施；2.每个评审因素的评审标准为:①方案完全满足且有优于要求的得4分；②方案完全满足要求的得2分；③方案部分不满足要求的得1分；④方案完全不满足或未提供的不得分。【注：未提供方案或与评审因素无关的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根据各供应商提供的对项目的服务承诺响应情况进行评审，每个评审因素最高得3分，本项最高得12分。1.评审因素：①服务质量；②数据准确性；③服务响应时间；④服务期内团队稳定性； 2.每个评审因素的评审标准为:①方案完全满足且有优于要求的得3分；②方案完全满足要求的得2分；③方案部分不满足要求的得1分；④方案完全不满足或未提供的不得分。【注：未提供方案或与评审因素无关的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项目人员配备</w:t>
            </w:r>
          </w:p>
        </w:tc>
        <w:tc>
          <w:tcPr>
            <w:tcW w:type="dxa" w:w="2492"/>
          </w:tcPr>
          <w:p>
            <w:pPr>
              <w:pStyle w:val="null3"/>
            </w:pPr>
            <w:r>
              <w:rPr>
                <w:rFonts w:ascii="仿宋_GB2312" w:hAnsi="仿宋_GB2312" w:cs="仿宋_GB2312" w:eastAsia="仿宋_GB2312"/>
              </w:rPr>
              <w:t>项目负责人（2分）：项目负责人具有相关专业高级技术职称得2分，中级技术职称得1分，其它不得分； 其他专业技术人员（3分）：拟派本项目其他专业技术人员具有相关专业中级及以上职称的，每配备一名得1分，最高计3分；（注：以上人员不重复计分）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供应商具有2023年04月01日至今的类似项目业绩，每提供一个计 1 分，满分 5 分。注：须提供中标通知书或合同（协议）复印件并加盖公章，以中标通知书或合同（协议）签订时间为准，不提供者不计分。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计算，即满足磋商文件要求且磋商价格最低的磋商报价为评审基准价，其价格分为满分。其他供应商的价格统一按照下列公式计算：磋商报价得分=（磋商基准价/最后磋商报价）×价格权值×100注：磋商小组三分之二以上成员认为某磋商报价有低于成本价嫌疑的，涉嫌不正当竞争的，为无效报价。</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根据各供应商提供的对项目的实施方案响应情况进行评审，每个评审因素最高得5分，本项最高得30分。1.评审因素：①项目组织架构；②实施标准；③工作方法；④工作部署与进度安排；⑤拟投入专业设施和设备；⑥技术报告编写；2.每个评审因素的评审标准为:①方案完全满足且有优于要求的得5分；②方案完全满足要求的得3分；③方案部分不满足要求的得1分；④方案完全不满足或未提供的不得分。【注：未提供方案或与评审因素无关的不得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重点、难点分析及解决措施</w:t>
            </w:r>
          </w:p>
        </w:tc>
        <w:tc>
          <w:tcPr>
            <w:tcW w:type="dxa" w:w="2492"/>
          </w:tcPr>
          <w:p>
            <w:pPr>
              <w:pStyle w:val="null3"/>
            </w:pPr>
            <w:r>
              <w:rPr>
                <w:rFonts w:ascii="仿宋_GB2312" w:hAnsi="仿宋_GB2312" w:cs="仿宋_GB2312" w:eastAsia="仿宋_GB2312"/>
              </w:rPr>
              <w:t>根据各供应商提供的对项目的重点、难点分析及解决措施响应情况进行评审，每个评审因素最高得4分，本项最高得12分。1.评审因素：①重、难点分析；②风险点分析；③解决方案；2.每个评审因素的评审标准为:①方案完全满足且有优于要求的得4分；②方案完全满足要求的得2分；③方案部分不满足要求的得1分；④方案完全不满足或未提供的不得分。【注：未提供方案或与评审因素无关的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管理制度</w:t>
            </w:r>
          </w:p>
        </w:tc>
        <w:tc>
          <w:tcPr>
            <w:tcW w:type="dxa" w:w="2492"/>
          </w:tcPr>
          <w:p>
            <w:pPr>
              <w:pStyle w:val="null3"/>
            </w:pPr>
            <w:r>
              <w:rPr>
                <w:rFonts w:ascii="仿宋_GB2312" w:hAnsi="仿宋_GB2312" w:cs="仿宋_GB2312" w:eastAsia="仿宋_GB2312"/>
              </w:rPr>
              <w:t>根据各供应商提供的对项目的管理制度响应情况进行评审，每个评审因素最高得3分，本项最高得9分。1.评审因素：①业务质量控制制度；②档案管理制度；③风险控制制度；2.每个评审因素的评审标准为:①方案完全满足且有优于要求的得3分；②方案完全满足要求的得2分；③方案部分不满足要求的得1分；④方案完全不满足或未提供的不得分。【注：未提供方案或与评审因素无关的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保证措施方案</w:t>
            </w:r>
          </w:p>
        </w:tc>
        <w:tc>
          <w:tcPr>
            <w:tcW w:type="dxa" w:w="2492"/>
          </w:tcPr>
          <w:p>
            <w:pPr>
              <w:pStyle w:val="null3"/>
            </w:pPr>
            <w:r>
              <w:rPr>
                <w:rFonts w:ascii="仿宋_GB2312" w:hAnsi="仿宋_GB2312" w:cs="仿宋_GB2312" w:eastAsia="仿宋_GB2312"/>
              </w:rPr>
              <w:t>根据各供应商提供的对项目的保证措施方案响应情况进行评审，每个评审因素最高得4分，本项最高得12分。1.评审因素：①项目进度保障措施；②成果保证措施；③安全保证措施；2.每个评审因素的评审标准为:①方案完全满足且有优于要求的得4分；②方案完全满足要求的得2分；③方案部分不满足要求的得1分；④方案完全不满足或未提供的不得分。【注：未提供方案或与评审因素无关的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根据各供应商提供的对项目的服务承诺响应情况进行评审，每个评审因素最高得3分，本项最高得12分。1.评审因素：①服务质量；②数据准确性；③服务响应时间；④服务期内团队稳定性； 2.每个评审因素的评审标准为:①方案完全满足且有优于要求的得3分；②方案完全满足要求的得2分；③方案部分不满足要求的得1分；④方案完全不满足或未提供的不得分。【注：未提供方案或与评审因素无关的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项目人员配备</w:t>
            </w:r>
          </w:p>
        </w:tc>
        <w:tc>
          <w:tcPr>
            <w:tcW w:type="dxa" w:w="2492"/>
          </w:tcPr>
          <w:p>
            <w:pPr>
              <w:pStyle w:val="null3"/>
            </w:pPr>
            <w:r>
              <w:rPr>
                <w:rFonts w:ascii="仿宋_GB2312" w:hAnsi="仿宋_GB2312" w:cs="仿宋_GB2312" w:eastAsia="仿宋_GB2312"/>
              </w:rPr>
              <w:t>项目负责人（2分）：项目负责人具有相关专业高级技术职称得2分，中级技术职称得1分，其它不得分； 其他专业技术人员（3分）：拟派本项目其他专业技术人员具有相关专业中级及以上职称的，每配备一名得1分，最高计3分；（注：以上人员不重复计分）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供应商具有2023年04月01日至今的类似项目业绩，每提供一个计 1 分，满分 5 分。注：须提供中标通知书或合同（协议）复印件并加盖公章，以中标通知书或合同（协议）签订时间为准，不提供者不计分。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计算，即满足磋商文件要求且磋商价格最低的磋商报价为评审基准价，其价格分为满分。其他供应商的价格统一按照下列公式计算：磋商报价得分=（磋商基准价/最后磋商报价）×价格权值×100注：磋商小组三分之二以上成员认为某磋商报价有低于成本价嫌疑的，涉嫌不正当竞争的，为无效报价。</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详见附件：资格证明.pdf</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详见附件：拒绝政府采购领域商业贿赂承诺书.pdf</w:t>
      </w:r>
    </w:p>
    <w:p>
      <w:pPr>
        <w:pStyle w:val="null3"/>
        <w:ind w:firstLine="960"/>
      </w:pPr>
      <w:r>
        <w:rPr>
          <w:rFonts w:ascii="仿宋_GB2312" w:hAnsi="仿宋_GB2312" w:cs="仿宋_GB2312" w:eastAsia="仿宋_GB2312"/>
        </w:rPr>
        <w:t>详见附件：商务条款偏离表.pdf</w:t>
      </w:r>
    </w:p>
    <w:p>
      <w:pPr>
        <w:pStyle w:val="null3"/>
        <w:ind w:firstLine="960"/>
      </w:pPr>
      <w:r>
        <w:rPr>
          <w:rFonts w:ascii="仿宋_GB2312" w:hAnsi="仿宋_GB2312" w:cs="仿宋_GB2312" w:eastAsia="仿宋_GB2312"/>
        </w:rPr>
        <w:t>详见附件：业绩.docx</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详见附件：供应商认为有必要补充说明的事宜.docx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详见附件：资格证明.pdf</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详见附件：拒绝政府采购领域商业贿赂承诺书.pdf</w:t>
      </w:r>
    </w:p>
    <w:p>
      <w:pPr>
        <w:pStyle w:val="null3"/>
        <w:ind w:firstLine="960"/>
      </w:pPr>
      <w:r>
        <w:rPr>
          <w:rFonts w:ascii="仿宋_GB2312" w:hAnsi="仿宋_GB2312" w:cs="仿宋_GB2312" w:eastAsia="仿宋_GB2312"/>
        </w:rPr>
        <w:t>详见附件：商务条款偏离表.pdf</w:t>
      </w:r>
    </w:p>
    <w:p>
      <w:pPr>
        <w:pStyle w:val="null3"/>
        <w:ind w:firstLine="960"/>
      </w:pPr>
      <w:r>
        <w:rPr>
          <w:rFonts w:ascii="仿宋_GB2312" w:hAnsi="仿宋_GB2312" w:cs="仿宋_GB2312" w:eastAsia="仿宋_GB2312"/>
        </w:rPr>
        <w:t>详见附件：业绩.docx</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详见附件：供应商认为有必要补充说明的事宜.docx</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详见附件：资格证明.pdf</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详见附件：拒绝政府采购领域商业贿赂承诺书.pdf</w:t>
      </w:r>
    </w:p>
    <w:p>
      <w:pPr>
        <w:pStyle w:val="null3"/>
        <w:ind w:firstLine="960"/>
      </w:pPr>
      <w:r>
        <w:rPr>
          <w:rFonts w:ascii="仿宋_GB2312" w:hAnsi="仿宋_GB2312" w:cs="仿宋_GB2312" w:eastAsia="仿宋_GB2312"/>
        </w:rPr>
        <w:t>详见附件：商务条款偏离表.pdf</w:t>
      </w:r>
    </w:p>
    <w:p>
      <w:pPr>
        <w:pStyle w:val="null3"/>
        <w:ind w:firstLine="960"/>
      </w:pPr>
      <w:r>
        <w:rPr>
          <w:rFonts w:ascii="仿宋_GB2312" w:hAnsi="仿宋_GB2312" w:cs="仿宋_GB2312" w:eastAsia="仿宋_GB2312"/>
        </w:rPr>
        <w:t>详见附件：业绩.docx</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详见附件：供应商认为有必要补充说明的事宜.docx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