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6A9C4">
      <w:pPr>
        <w:pStyle w:val="2"/>
        <w:spacing w:before="163" w:after="163"/>
        <w:jc w:val="both"/>
        <w:rPr>
          <w:rFonts w:hint="eastAsia" w:ascii="楷体" w:hAnsi="楷体" w:eastAsia="楷体" w:cs="楷体"/>
          <w:b/>
          <w:bCs w:val="0"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一、项目概况</w:t>
      </w:r>
    </w:p>
    <w:p w14:paraId="2A718417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bCs w:val="0"/>
          <w:color w:val="000000"/>
          <w:kern w:val="24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 w:val="0"/>
          <w:color w:val="000000"/>
          <w:kern w:val="24"/>
          <w:sz w:val="24"/>
          <w:szCs w:val="24"/>
          <w:lang w:val="en-US" w:eastAsia="zh-CN" w:bidi="ar-SA"/>
        </w:rPr>
        <w:t xml:space="preserve">   为持续提升航天基地市容环境精细化管理水平，推动市容管理规范化、科学化、标准化、长效化，大力推进“城市建设管理提升年”，按照西安市地方标准《公共厕所管理与服务规范》（DB 6101/T3010—2018）、西安市城市管理和综合执法局《关于印发西安市环卫保洁精细化作业指引的通知》（市城管发〔2023〕132 号）文件实施公厕保洁管理服务。</w:t>
      </w:r>
    </w:p>
    <w:p w14:paraId="5C40B8C9">
      <w:pPr>
        <w:pStyle w:val="2"/>
        <w:spacing w:before="163" w:after="163"/>
        <w:jc w:val="both"/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二、公厕管理数量及标段划分</w:t>
      </w:r>
    </w:p>
    <w:p w14:paraId="74F6BAF9">
      <w:pPr>
        <w:pStyle w:val="2"/>
        <w:spacing w:before="163" w:after="163" w:line="360" w:lineRule="auto"/>
        <w:ind w:firstLine="48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1.二标段负责管理30座公厕的保洁服务工作，包含一类公厕20座，二类公厕10座。</w:t>
      </w:r>
    </w:p>
    <w:p w14:paraId="702338CC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三、服务内容</w:t>
      </w:r>
    </w:p>
    <w:p w14:paraId="57C7571E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1.公厕的日常管理工作，包含保洁、清污、消杀、水电费缴纳、小型维修（公厕内部水管网、线缆、感应器、光源等设施维修及更换；门窗、顶棚、地面、墙面、隔断、大小便池、各类洁器具等设施设备维修及维护）。</w:t>
      </w:r>
    </w:p>
    <w:p w14:paraId="43D80950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2.所有渠道投诉、舆情的处理。</w:t>
      </w:r>
    </w:p>
    <w:p w14:paraId="73C8CC4B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3.贯彻落实陕西省、西安市及航天基地管委会相关文件和规定。</w:t>
      </w:r>
    </w:p>
    <w:p w14:paraId="1C56E061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4.公厕门前“三包”、病媒防制等工作。</w:t>
      </w:r>
    </w:p>
    <w:p w14:paraId="5F093A26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5.甲方安排的其它工作。</w:t>
      </w:r>
      <w:bookmarkStart w:id="0" w:name="_GoBack"/>
      <w:bookmarkEnd w:id="0"/>
    </w:p>
    <w:p w14:paraId="0D99EF68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四、日常监管</w:t>
      </w:r>
    </w:p>
    <w:p w14:paraId="72576DC3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1、按照“免费开放、标志明显、设施完善、卫生达标、环境优美、管理规范、服务一流”的标准，“公开、公平、透明”的原则，对公厕管理进行检查考评。</w:t>
      </w:r>
    </w:p>
    <w:p w14:paraId="1F2383DF">
      <w:pPr>
        <w:pStyle w:val="2"/>
        <w:spacing w:before="163" w:after="163"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每次随机抽取公厕管理单位2-6座公厕，进行现场检查考核。考核内容包括：公厕管理、公厕保洁质量、耗材放置、设施设备维护、通报及投诉处置、宣传及资料报送、工作指令落实等内容等，如公厕管理单位未按照要求作业，将按照违约责任中的细则进行处理。</w:t>
      </w:r>
    </w:p>
    <w:p w14:paraId="0092F6BC">
      <w:p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pStyle w:val="2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12D65D3E"/>
    <w:rsid w:val="12D65D3E"/>
    <w:rsid w:val="1C4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Lines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647</Characters>
  <Lines>0</Lines>
  <Paragraphs>0</Paragraphs>
  <TotalTime>0</TotalTime>
  <ScaleCrop>false</ScaleCrop>
  <LinksUpToDate>false</LinksUpToDate>
  <CharactersWithSpaces>675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2024-09-19T03:06:00Z</dcterms:created>
  <dc:creator>李</dc:creator>
  <cp:lastModifiedBy>Administrator</cp:lastModifiedBy>
  <dcterms:modified xsi:type="dcterms:W3CDTF">2024-10-14T02:56:06Z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52FBD23950234B47B1ED9ED6FBAE98B0_11</vt:lpwstr>
  </property>
</Properties>
</file>