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rPr>
          <w:rFonts w:hint="eastAsia" w:ascii="楷体" w:hAnsi="楷体" w:eastAsia="楷体" w:cs="楷体"/>
          <w:b/>
          <w:bCs/>
          <w:kern w:val="2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kern w:val="2"/>
          <w:sz w:val="24"/>
          <w:szCs w:val="24"/>
        </w:rPr>
        <w:t>一、采购内容</w:t>
      </w:r>
    </w:p>
    <w:tbl>
      <w:tblPr>
        <w:tblStyle w:val="3"/>
        <w:tblW w:w="90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7545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</w:trPr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  <w:t>序号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  <w:t>采购内容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  <w:t>1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  <w:t>监督性监测（对辖区排污单位排放污染物监测）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  <w:t>2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  <w:t>环境质量监测（对辖区内水、大气、噪声、土壤等环境质量监测）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  <w:t>3</w:t>
            </w:r>
          </w:p>
        </w:tc>
        <w:tc>
          <w:tcPr>
            <w:tcW w:w="7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  <w:t>应急执法监测（应急类监测，临时性执法监测，校核性监测等专项监测）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2"/>
                <w:sz w:val="24"/>
                <w:szCs w:val="24"/>
              </w:rPr>
              <w:t>/</w:t>
            </w:r>
          </w:p>
        </w:tc>
      </w:tr>
    </w:tbl>
    <w:p>
      <w:pPr>
        <w:spacing w:line="360" w:lineRule="auto"/>
        <w:ind w:firstLine="0" w:firstLineChars="0"/>
        <w:rPr>
          <w:rFonts w:hint="eastAsia" w:ascii="楷体" w:hAnsi="楷体" w:eastAsia="楷体" w:cs="楷体"/>
          <w:b/>
          <w:bCs/>
          <w:kern w:val="2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kern w:val="2"/>
          <w:sz w:val="24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kern w:val="2"/>
          <w:sz w:val="24"/>
          <w:szCs w:val="24"/>
        </w:rPr>
        <w:t>、其他要求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1.服务期：自合同签订之日起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</w:t>
      </w:r>
      <w:r>
        <w:rPr>
          <w:rFonts w:hint="eastAsia" w:ascii="楷体" w:hAnsi="楷体" w:eastAsia="楷体" w:cs="楷体"/>
          <w:sz w:val="24"/>
          <w:szCs w:val="24"/>
        </w:rPr>
        <w:t>个月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2.供应商应于每个季度首月10号前向采购人提交上季度环境监测报告（包括纸质版一式四份和电子版）。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3.监测单位开展监测项目监测时，选用分析方法和评价方法应符合国家环境污染物监测标准、排污许可证、项目环评等文件要求。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楷体"/>
          <w:sz w:val="24"/>
          <w:szCs w:val="24"/>
        </w:rPr>
        <w:t>.车辆、监测人员配备情况供应商自拟。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5.如因供应商无法完成监测工作或监测人员不充足，造成监测工作拖延，不能按时提交成果报告的，采购人有权解除合同，重新选择供应商。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6.供应商提交的监测成果报告须接受第三方监测机构复检，若复检结果与成果报告误差较大，采购人有权解除合同，重新选择供应商。</w:t>
      </w:r>
    </w:p>
    <w:p>
      <w:pPr>
        <w:spacing w:line="360" w:lineRule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7.供应商不能按时交付成果报告，采购人延期支付费用。</w:t>
      </w:r>
    </w:p>
    <w:p>
      <w:pPr>
        <w:spacing w:line="360" w:lineRule="auto"/>
        <w:ind w:firstLine="0" w:firstLineChars="0"/>
        <w:rPr>
          <w:rFonts w:hint="eastAsia" w:ascii="楷体" w:hAnsi="楷体" w:eastAsia="楷体" w:cs="楷体"/>
          <w:b/>
          <w:bCs/>
          <w:kern w:val="2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kern w:val="2"/>
          <w:sz w:val="24"/>
          <w:szCs w:val="24"/>
          <w:lang w:val="en-US" w:eastAsia="zh-CN"/>
        </w:rPr>
        <w:t>具体内容详见采购文件</w:t>
      </w:r>
      <w:bookmarkStart w:id="0" w:name="_GoBack"/>
      <w:bookmarkEnd w:id="0"/>
    </w:p>
    <w:sectPr>
      <w:pgSz w:w="11910" w:h="16840"/>
      <w:pgMar w:top="1355" w:right="1417" w:bottom="1134" w:left="1417" w:header="567" w:footer="567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MGJlZmYzNTFlOTllYWY4YzQ5NmIzOTY0ZmUyYTMifQ=="/>
  </w:docVars>
  <w:rsids>
    <w:rsidRoot w:val="69BB34CC"/>
    <w:rsid w:val="16B234A2"/>
    <w:rsid w:val="21525AB7"/>
    <w:rsid w:val="337113E9"/>
    <w:rsid w:val="6082776A"/>
    <w:rsid w:val="69B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tabs>
        <w:tab w:val="left" w:pos="864"/>
      </w:tabs>
      <w:spacing w:before="120" w:line="360" w:lineRule="auto"/>
      <w:ind w:left="864" w:hanging="864"/>
      <w:outlineLvl w:val="3"/>
    </w:pPr>
    <w:rPr>
      <w:rFonts w:ascii="Arial" w:hAnsi="Arial"/>
      <w:bCs/>
      <w:kern w:val="2"/>
      <w:szCs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2024-05-27T03:16:00Z</dcterms:created>
  <dc:creator>李</dc:creator>
  <cp:lastModifiedBy>李</cp:lastModifiedBy>
  <dcterms:modified xsi:type="dcterms:W3CDTF">2024-05-27T03:17:16Z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4265DBAA85A940368D8E55C4C4F5709D_11</vt:lpwstr>
  </property>
</Properties>
</file>