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360" w:lineRule="auto"/>
        <w:jc w:val="center"/>
        <w:outlineLvl w:val="1"/>
        <w:rPr>
          <w:rFonts w:hint="eastAsia" w:ascii="宋体" w:hAnsi="宋体" w:eastAsia="宋体" w:cs="宋体"/>
          <w:b/>
          <w:sz w:val="40"/>
          <w:szCs w:val="40"/>
        </w:rPr>
      </w:pPr>
    </w:p>
    <w:p>
      <w:pPr>
        <w:pStyle w:val="13"/>
        <w:spacing w:line="360" w:lineRule="auto"/>
        <w:jc w:val="center"/>
        <w:outlineLvl w:val="1"/>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西安航天城第二小学</w:t>
      </w:r>
    </w:p>
    <w:p>
      <w:pPr>
        <w:pStyle w:val="13"/>
        <w:spacing w:line="360" w:lineRule="auto"/>
        <w:jc w:val="center"/>
        <w:outlineLvl w:val="1"/>
        <w:rPr>
          <w:rFonts w:hint="eastAsia" w:ascii="宋体" w:hAnsi="宋体" w:eastAsia="宋体" w:cs="宋体"/>
          <w:b/>
          <w:color w:val="auto"/>
          <w:sz w:val="44"/>
          <w:szCs w:val="44"/>
          <w:highlight w:val="none"/>
        </w:rPr>
      </w:pPr>
    </w:p>
    <w:p>
      <w:pPr>
        <w:pStyle w:val="13"/>
        <w:spacing w:line="360" w:lineRule="auto"/>
        <w:jc w:val="center"/>
        <w:outlineLvl w:val="1"/>
        <w:rPr>
          <w:rFonts w:hint="eastAsia" w:ascii="宋体" w:hAnsi="宋体" w:eastAsia="宋体" w:cs="宋体"/>
          <w:b/>
          <w:bCs/>
          <w:color w:val="auto"/>
          <w:spacing w:val="26"/>
          <w:sz w:val="21"/>
          <w:szCs w:val="21"/>
          <w:highlight w:val="none"/>
          <w:u w:val="none"/>
        </w:rPr>
      </w:pPr>
      <w:r>
        <w:rPr>
          <w:rFonts w:hint="eastAsia" w:ascii="宋体" w:hAnsi="宋体" w:eastAsia="宋体" w:cs="宋体"/>
          <w:b/>
          <w:color w:val="auto"/>
          <w:sz w:val="44"/>
          <w:szCs w:val="44"/>
          <w:highlight w:val="none"/>
        </w:rPr>
        <w:t>2024—2026年物业安保服务</w:t>
      </w:r>
    </w:p>
    <w:p>
      <w:pPr>
        <w:spacing w:line="360" w:lineRule="auto"/>
        <w:jc w:val="center"/>
        <w:rPr>
          <w:rFonts w:hint="eastAsia" w:ascii="宋体" w:hAnsi="宋体" w:eastAsia="宋体" w:cs="宋体"/>
          <w:b/>
          <w:bCs/>
          <w:color w:val="auto"/>
          <w:spacing w:val="26"/>
          <w:sz w:val="21"/>
          <w:szCs w:val="21"/>
          <w:u w:val="none"/>
        </w:rPr>
      </w:pPr>
    </w:p>
    <w:p>
      <w:pPr>
        <w:pStyle w:val="5"/>
        <w:rPr>
          <w:rFonts w:hint="eastAsia"/>
        </w:rPr>
      </w:pPr>
    </w:p>
    <w:p>
      <w:pPr>
        <w:pStyle w:val="2"/>
        <w:rPr>
          <w:rFonts w:hint="eastAsia" w:ascii="宋体" w:hAnsi="宋体" w:eastAsia="宋体" w:cs="宋体"/>
          <w:b/>
          <w:bCs/>
          <w:color w:val="auto"/>
          <w:spacing w:val="26"/>
          <w:sz w:val="21"/>
          <w:szCs w:val="21"/>
          <w:u w:val="none"/>
        </w:rPr>
      </w:pPr>
    </w:p>
    <w:p>
      <w:pPr>
        <w:pStyle w:val="2"/>
        <w:rPr>
          <w:rFonts w:hint="eastAsia" w:ascii="宋体" w:hAnsi="宋体" w:eastAsia="宋体" w:cs="宋体"/>
          <w:b/>
          <w:bCs/>
          <w:color w:val="auto"/>
          <w:spacing w:val="26"/>
          <w:sz w:val="21"/>
          <w:szCs w:val="21"/>
          <w:u w:val="none"/>
        </w:rPr>
      </w:pPr>
    </w:p>
    <w:p>
      <w:pPr>
        <w:spacing w:line="360" w:lineRule="auto"/>
        <w:jc w:val="center"/>
        <w:rPr>
          <w:rFonts w:hint="eastAsia" w:ascii="宋体" w:hAnsi="宋体" w:eastAsia="宋体" w:cs="宋体"/>
          <w:b/>
          <w:bCs/>
          <w:color w:val="auto"/>
          <w:sz w:val="21"/>
          <w:szCs w:val="21"/>
          <w:u w:val="none"/>
        </w:rPr>
      </w:pPr>
    </w:p>
    <w:p>
      <w:pPr>
        <w:pStyle w:val="5"/>
        <w:rPr>
          <w:rFonts w:hint="eastAsia" w:ascii="宋体" w:hAnsi="宋体" w:eastAsia="宋体" w:cs="宋体"/>
          <w:b/>
          <w:bCs/>
          <w:color w:val="auto"/>
          <w:sz w:val="21"/>
          <w:szCs w:val="21"/>
          <w:u w:val="none"/>
        </w:rPr>
      </w:pPr>
    </w:p>
    <w:p>
      <w:pPr>
        <w:pStyle w:val="4"/>
        <w:rPr>
          <w:rFonts w:hint="eastAsia"/>
        </w:rPr>
      </w:pPr>
    </w:p>
    <w:p>
      <w:pPr>
        <w:pStyle w:val="13"/>
        <w:spacing w:line="360" w:lineRule="auto"/>
        <w:jc w:val="center"/>
        <w:outlineLvl w:val="1"/>
        <w:rPr>
          <w:rFonts w:hint="eastAsia" w:ascii="宋体" w:hAnsi="宋体" w:eastAsia="宋体" w:cs="宋体"/>
          <w:b/>
          <w:sz w:val="52"/>
          <w:szCs w:val="52"/>
        </w:rPr>
      </w:pPr>
    </w:p>
    <w:p>
      <w:pPr>
        <w:pStyle w:val="13"/>
        <w:spacing w:line="360" w:lineRule="auto"/>
        <w:jc w:val="center"/>
        <w:outlineLvl w:val="1"/>
        <w:rPr>
          <w:rFonts w:hint="eastAsia" w:ascii="宋体" w:hAnsi="宋体" w:eastAsia="宋体" w:cs="宋体"/>
          <w:b/>
          <w:sz w:val="52"/>
          <w:szCs w:val="52"/>
        </w:rPr>
      </w:pPr>
    </w:p>
    <w:p>
      <w:pPr>
        <w:pStyle w:val="13"/>
        <w:spacing w:line="360" w:lineRule="auto"/>
        <w:jc w:val="center"/>
        <w:outlineLvl w:val="1"/>
        <w:rPr>
          <w:rFonts w:hint="eastAsia" w:ascii="宋体" w:hAnsi="宋体" w:eastAsia="宋体" w:cs="宋体"/>
          <w:b/>
          <w:sz w:val="52"/>
          <w:szCs w:val="52"/>
        </w:rPr>
      </w:pPr>
      <w:r>
        <w:rPr>
          <w:rFonts w:hint="eastAsia" w:ascii="宋体" w:hAnsi="宋体" w:eastAsia="宋体" w:cs="宋体"/>
          <w:b/>
          <w:sz w:val="52"/>
          <w:szCs w:val="52"/>
        </w:rPr>
        <w:t>服务合同</w:t>
      </w:r>
    </w:p>
    <w:p>
      <w:pPr>
        <w:spacing w:line="360" w:lineRule="auto"/>
        <w:rPr>
          <w:rFonts w:hint="eastAsia" w:ascii="宋体" w:hAnsi="宋体" w:eastAsia="宋体" w:cs="宋体"/>
          <w:b/>
          <w:color w:val="auto"/>
          <w:sz w:val="21"/>
          <w:szCs w:val="21"/>
          <w:u w:val="none"/>
        </w:rPr>
      </w:pPr>
    </w:p>
    <w:p>
      <w:pPr>
        <w:pStyle w:val="2"/>
        <w:rPr>
          <w:rFonts w:hint="eastAsia" w:ascii="宋体" w:hAnsi="宋体" w:eastAsia="宋体" w:cs="宋体"/>
          <w:b/>
          <w:color w:val="auto"/>
          <w:sz w:val="21"/>
          <w:szCs w:val="21"/>
          <w:u w:val="none"/>
        </w:rPr>
      </w:pPr>
    </w:p>
    <w:p>
      <w:pPr>
        <w:pStyle w:val="2"/>
        <w:rPr>
          <w:rFonts w:hint="eastAsia" w:ascii="宋体" w:hAnsi="宋体" w:eastAsia="宋体" w:cs="宋体"/>
          <w:b/>
          <w:color w:val="auto"/>
          <w:sz w:val="21"/>
          <w:szCs w:val="21"/>
          <w:u w:val="none"/>
        </w:rPr>
      </w:pPr>
    </w:p>
    <w:p>
      <w:pPr>
        <w:pStyle w:val="2"/>
        <w:rPr>
          <w:rFonts w:hint="eastAsia" w:ascii="宋体" w:hAnsi="宋体" w:eastAsia="宋体" w:cs="宋体"/>
          <w:b/>
          <w:color w:val="auto"/>
          <w:sz w:val="21"/>
          <w:szCs w:val="21"/>
          <w:u w:val="none"/>
        </w:rPr>
      </w:pPr>
    </w:p>
    <w:p>
      <w:pPr>
        <w:pStyle w:val="2"/>
        <w:rPr>
          <w:rFonts w:hint="eastAsia" w:ascii="宋体" w:hAnsi="宋体" w:eastAsia="宋体" w:cs="宋体"/>
          <w:b/>
          <w:color w:val="auto"/>
          <w:sz w:val="21"/>
          <w:szCs w:val="21"/>
          <w:u w:val="none"/>
        </w:rPr>
      </w:pPr>
    </w:p>
    <w:p>
      <w:pPr>
        <w:spacing w:line="360" w:lineRule="auto"/>
        <w:rPr>
          <w:rFonts w:hint="eastAsia" w:ascii="宋体" w:hAnsi="宋体" w:eastAsia="宋体" w:cs="宋体"/>
          <w:b/>
          <w:color w:val="auto"/>
          <w:sz w:val="21"/>
          <w:szCs w:val="21"/>
          <w:u w:val="none"/>
        </w:rPr>
      </w:pPr>
    </w:p>
    <w:p>
      <w:pPr>
        <w:pStyle w:val="5"/>
        <w:rPr>
          <w:rFonts w:hint="eastAsia" w:ascii="宋体" w:hAnsi="宋体" w:eastAsia="宋体" w:cs="宋体"/>
          <w:b/>
          <w:color w:val="auto"/>
          <w:sz w:val="21"/>
          <w:szCs w:val="21"/>
          <w:u w:val="none"/>
        </w:rPr>
      </w:pPr>
    </w:p>
    <w:p>
      <w:pPr>
        <w:pStyle w:val="4"/>
        <w:rPr>
          <w:rFonts w:hint="eastAsia" w:ascii="宋体" w:hAnsi="宋体" w:eastAsia="宋体" w:cs="宋体"/>
          <w:b/>
          <w:color w:val="auto"/>
          <w:sz w:val="21"/>
          <w:szCs w:val="21"/>
          <w:u w:val="none"/>
        </w:rPr>
      </w:pPr>
    </w:p>
    <w:p>
      <w:pPr>
        <w:rPr>
          <w:rFonts w:hint="eastAsia"/>
        </w:rPr>
      </w:pPr>
    </w:p>
    <w:p>
      <w:pPr>
        <w:pStyle w:val="2"/>
        <w:rPr>
          <w:rFonts w:hint="eastAsia" w:ascii="宋体" w:hAnsi="宋体" w:eastAsia="宋体" w:cs="宋体"/>
          <w:b/>
          <w:color w:val="auto"/>
          <w:sz w:val="21"/>
          <w:szCs w:val="21"/>
          <w:u w:val="none"/>
        </w:rPr>
      </w:pPr>
    </w:p>
    <w:p>
      <w:pPr>
        <w:pStyle w:val="2"/>
        <w:rPr>
          <w:rFonts w:hint="eastAsia" w:ascii="宋体" w:hAnsi="宋体" w:eastAsia="宋体" w:cs="宋体"/>
          <w:b/>
          <w:color w:val="auto"/>
          <w:sz w:val="21"/>
          <w:szCs w:val="21"/>
          <w:u w:val="none"/>
        </w:rPr>
      </w:pPr>
    </w:p>
    <w:p>
      <w:pPr>
        <w:pStyle w:val="13"/>
        <w:spacing w:line="360" w:lineRule="auto"/>
        <w:jc w:val="left"/>
        <w:outlineLvl w:val="1"/>
        <w:rPr>
          <w:rFonts w:hint="eastAsia" w:ascii="宋体" w:hAnsi="宋体" w:eastAsia="宋体" w:cs="宋体"/>
          <w:b/>
          <w:sz w:val="28"/>
          <w:szCs w:val="28"/>
          <w:lang w:eastAsia="zh-CN"/>
        </w:rPr>
      </w:pPr>
      <w:r>
        <w:rPr>
          <w:rFonts w:hint="eastAsia" w:ascii="宋体" w:hAnsi="宋体" w:eastAsia="宋体" w:cs="宋体"/>
          <w:b/>
          <w:sz w:val="28"/>
          <w:szCs w:val="28"/>
          <w:lang w:val="en-US"/>
        </w:rPr>
        <w:t>甲方</w:t>
      </w:r>
      <w:r>
        <w:rPr>
          <w:rFonts w:hint="eastAsia" w:ascii="宋体" w:hAnsi="宋体" w:eastAsia="宋体" w:cs="宋体"/>
          <w:b/>
          <w:sz w:val="28"/>
          <w:szCs w:val="28"/>
        </w:rPr>
        <w:t xml:space="preserve">： </w:t>
      </w:r>
    </w:p>
    <w:p>
      <w:pPr>
        <w:pStyle w:val="13"/>
        <w:spacing w:line="360" w:lineRule="auto"/>
        <w:jc w:val="left"/>
        <w:outlineLvl w:val="1"/>
        <w:rPr>
          <w:rFonts w:hint="eastAsia" w:ascii="宋体" w:hAnsi="宋体" w:eastAsia="宋体" w:cs="宋体"/>
          <w:b/>
          <w:sz w:val="28"/>
          <w:szCs w:val="28"/>
          <w:lang w:val="en-US"/>
        </w:rPr>
      </w:pPr>
    </w:p>
    <w:p>
      <w:pPr>
        <w:pStyle w:val="13"/>
        <w:spacing w:line="360" w:lineRule="auto"/>
        <w:jc w:val="left"/>
        <w:outlineLvl w:val="1"/>
        <w:rPr>
          <w:rFonts w:hint="eastAsia" w:ascii="宋体" w:hAnsi="宋体" w:eastAsia="宋体" w:cs="宋体"/>
          <w:b/>
          <w:bCs/>
          <w:color w:val="auto"/>
          <w:spacing w:val="26"/>
          <w:sz w:val="21"/>
          <w:szCs w:val="21"/>
          <w:u w:val="none"/>
        </w:rPr>
      </w:pPr>
      <w:r>
        <w:rPr>
          <w:rFonts w:hint="eastAsia" w:ascii="宋体" w:hAnsi="宋体" w:eastAsia="宋体" w:cs="宋体"/>
          <w:b/>
          <w:sz w:val="28"/>
          <w:szCs w:val="28"/>
          <w:lang w:val="en-US"/>
        </w:rPr>
        <w:t>乙方</w:t>
      </w:r>
      <w:r>
        <w:rPr>
          <w:rFonts w:hint="eastAsia" w:ascii="宋体" w:hAnsi="宋体" w:eastAsia="宋体" w:cs="宋体"/>
          <w:b/>
          <w:sz w:val="28"/>
          <w:szCs w:val="28"/>
        </w:rPr>
        <w:t xml:space="preserve">:  </w:t>
      </w:r>
    </w:p>
    <w:p>
      <w:pPr>
        <w:spacing w:line="360" w:lineRule="auto"/>
        <w:jc w:val="center"/>
        <w:rPr>
          <w:rFonts w:hint="eastAsia" w:ascii="宋体" w:hAnsi="宋体" w:eastAsia="宋体" w:cs="宋体"/>
          <w:b/>
          <w:color w:val="auto"/>
          <w:sz w:val="24"/>
          <w:szCs w:val="24"/>
          <w:u w:val="none"/>
        </w:rPr>
      </w:pPr>
      <w:r>
        <w:rPr>
          <w:rFonts w:hint="eastAsia" w:ascii="宋体" w:hAnsi="宋体" w:eastAsia="宋体" w:cs="宋体"/>
          <w:b/>
          <w:color w:val="auto"/>
          <w:sz w:val="24"/>
          <w:szCs w:val="24"/>
          <w:u w:val="none"/>
        </w:rPr>
        <w:t>物业管理服务合同</w:t>
      </w:r>
    </w:p>
    <w:p>
      <w:pPr>
        <w:adjustRightInd w:val="0"/>
        <w:snapToGrid w:val="0"/>
        <w:spacing w:line="360" w:lineRule="auto"/>
        <w:ind w:firstLine="480" w:firstLineChars="200"/>
        <w:rPr>
          <w:rFonts w:hint="eastAsia" w:ascii="宋体" w:hAnsi="宋体" w:eastAsia="宋体" w:cs="宋体"/>
          <w:color w:val="auto"/>
          <w:sz w:val="24"/>
          <w:szCs w:val="24"/>
          <w:highlight w:val="none"/>
        </w:rPr>
      </w:pPr>
    </w:p>
    <w:p>
      <w:pPr>
        <w:adjustRightInd w:val="0"/>
        <w:snapToGrid w:val="0"/>
        <w:spacing w:line="360" w:lineRule="auto"/>
        <w:ind w:firstLine="480" w:firstLineChars="200"/>
        <w:rPr>
          <w:rFonts w:hint="eastAsia" w:ascii="宋体" w:hAnsi="宋体" w:cs="宋体"/>
          <w:b/>
          <w:bCs/>
          <w:color w:val="auto"/>
          <w:sz w:val="24"/>
          <w:szCs w:val="24"/>
          <w:highlight w:val="none"/>
          <w:lang w:eastAsia="zh-CN"/>
        </w:rPr>
      </w:pPr>
      <w:r>
        <w:rPr>
          <w:rFonts w:hint="eastAsia" w:ascii="宋体" w:hAnsi="宋体" w:eastAsia="宋体" w:cs="宋体"/>
          <w:color w:val="auto"/>
          <w:sz w:val="24"/>
          <w:szCs w:val="24"/>
          <w:highlight w:val="none"/>
        </w:rPr>
        <w:t>甲方</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eastAsia="zh-CN"/>
        </w:rPr>
        <w:t>招标人</w:t>
      </w:r>
      <w:r>
        <w:rPr>
          <w:rFonts w:hint="eastAsia" w:ascii="宋体" w:hAnsi="宋体" w:eastAsia="宋体" w:cs="宋体"/>
          <w:b/>
          <w:bCs/>
          <w:color w:val="auto"/>
          <w:sz w:val="24"/>
          <w:szCs w:val="24"/>
          <w:highlight w:val="none"/>
        </w:rPr>
        <w:t>名称全称）：西安航天城第二</w:t>
      </w:r>
      <w:r>
        <w:rPr>
          <w:rFonts w:hint="eastAsia" w:ascii="宋体" w:hAnsi="宋体" w:cs="宋体"/>
          <w:b/>
          <w:bCs/>
          <w:color w:val="auto"/>
          <w:sz w:val="24"/>
          <w:szCs w:val="24"/>
          <w:highlight w:val="none"/>
          <w:lang w:eastAsia="zh-CN"/>
        </w:rPr>
        <w:t>小学</w:t>
      </w:r>
    </w:p>
    <w:p>
      <w:pPr>
        <w:adjustRightInd w:val="0"/>
        <w:snapToGrid w:val="0"/>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乙方</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eastAsia="zh-CN"/>
        </w:rPr>
        <w:t>中标单位</w:t>
      </w:r>
      <w:r>
        <w:rPr>
          <w:rFonts w:hint="eastAsia" w:ascii="宋体" w:hAnsi="宋体" w:eastAsia="宋体" w:cs="宋体"/>
          <w:b/>
          <w:bCs/>
          <w:color w:val="auto"/>
          <w:sz w:val="24"/>
          <w:szCs w:val="24"/>
          <w:highlight w:val="none"/>
        </w:rPr>
        <w:t>名称全称）</w:t>
      </w:r>
      <w:r>
        <w:rPr>
          <w:rFonts w:hint="eastAsia" w:ascii="宋体" w:hAnsi="宋体" w:eastAsia="宋体" w:cs="宋体"/>
          <w:sz w:val="24"/>
          <w:szCs w:val="24"/>
        </w:rPr>
        <w:t>：</w:t>
      </w:r>
      <w:r>
        <w:rPr>
          <w:rFonts w:hint="eastAsia" w:ascii="宋体" w:hAnsi="宋体" w:eastAsia="宋体" w:cs="宋体"/>
          <w:bCs/>
          <w:sz w:val="24"/>
          <w:szCs w:val="24"/>
          <w:u w:val="single"/>
        </w:rPr>
        <w:t xml:space="preserve">  </w:t>
      </w:r>
      <w:r>
        <w:rPr>
          <w:rFonts w:hint="eastAsia" w:ascii="宋体" w:hAnsi="宋体" w:eastAsia="宋体" w:cs="宋体"/>
          <w:sz w:val="24"/>
          <w:szCs w:val="24"/>
          <w:u w:val="single"/>
          <w:lang w:val="en-US" w:eastAsia="zh-CN"/>
        </w:rPr>
        <w:t xml:space="preserve">              </w:t>
      </w:r>
    </w:p>
    <w:p>
      <w:pPr>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鉴证方</w:t>
      </w:r>
      <w:r>
        <w:rPr>
          <w:rFonts w:hint="eastAsia" w:ascii="宋体" w:hAnsi="宋体" w:eastAsia="宋体" w:cs="宋体"/>
          <w:sz w:val="24"/>
          <w:szCs w:val="24"/>
        </w:rPr>
        <w:t>：</w:t>
      </w:r>
      <w:r>
        <w:rPr>
          <w:rFonts w:hint="eastAsia" w:ascii="宋体" w:hAnsi="宋体" w:cs="宋体"/>
          <w:sz w:val="24"/>
          <w:szCs w:val="24"/>
          <w:u w:val="single"/>
          <w:lang w:eastAsia="zh-CN"/>
        </w:rPr>
        <w:t>开瑞项目管理有限公司</w:t>
      </w:r>
    </w:p>
    <w:p>
      <w:pPr>
        <w:pStyle w:val="13"/>
        <w:spacing w:line="360" w:lineRule="auto"/>
        <w:ind w:firstLine="480" w:firstLineChars="200"/>
        <w:outlineLvl w:val="2"/>
        <w:rPr>
          <w:rFonts w:hint="eastAsia" w:ascii="宋体" w:hAnsi="宋体" w:eastAsia="宋体" w:cs="宋体"/>
          <w:color w:val="auto"/>
          <w:sz w:val="24"/>
          <w:szCs w:val="24"/>
          <w:highlight w:val="none"/>
        </w:rPr>
      </w:pPr>
    </w:p>
    <w:p>
      <w:pPr>
        <w:adjustRightInd w:val="0"/>
        <w:snapToGrid w:val="0"/>
        <w:spacing w:line="360" w:lineRule="auto"/>
        <w:ind w:firstLine="482" w:firstLineChars="200"/>
        <w:jc w:val="center"/>
        <w:rPr>
          <w:rFonts w:hint="eastAsia" w:ascii="宋体" w:hAnsi="宋体" w:eastAsia="宋体" w:cs="宋体"/>
          <w:b/>
          <w:bCs/>
          <w:sz w:val="24"/>
          <w:szCs w:val="24"/>
        </w:rPr>
      </w:pPr>
      <w:r>
        <w:rPr>
          <w:rFonts w:hint="eastAsia" w:ascii="宋体" w:hAnsi="宋体" w:eastAsia="宋体" w:cs="宋体"/>
          <w:b/>
          <w:bCs/>
          <w:sz w:val="24"/>
          <w:szCs w:val="24"/>
        </w:rPr>
        <w:t>第一章 总则</w:t>
      </w:r>
    </w:p>
    <w:p>
      <w:pPr>
        <w:pStyle w:val="13"/>
        <w:spacing w:line="360" w:lineRule="auto"/>
        <w:ind w:firstLine="482" w:firstLineChars="200"/>
        <w:outlineLvl w:val="2"/>
        <w:rPr>
          <w:rFonts w:hint="eastAsia" w:ascii="宋体" w:hAnsi="宋体" w:eastAsia="宋体" w:cs="宋体"/>
          <w:sz w:val="24"/>
          <w:szCs w:val="24"/>
          <w:lang w:eastAsia="zh-CN"/>
        </w:rPr>
      </w:pPr>
      <w:r>
        <w:rPr>
          <w:rFonts w:hint="eastAsia" w:ascii="宋体" w:hAnsi="宋体" w:eastAsia="宋体" w:cs="宋体"/>
          <w:b/>
          <w:bCs/>
          <w:sz w:val="24"/>
          <w:szCs w:val="24"/>
        </w:rPr>
        <w:t>第一条</w:t>
      </w:r>
      <w:r>
        <w:rPr>
          <w:rFonts w:hint="eastAsia" w:ascii="宋体" w:hAnsi="宋体" w:eastAsia="宋体" w:cs="宋体"/>
          <w:sz w:val="24"/>
          <w:szCs w:val="24"/>
        </w:rPr>
        <w:t xml:space="preserve"> </w:t>
      </w:r>
      <w:r>
        <w:rPr>
          <w:rFonts w:hint="eastAsia" w:ascii="宋体" w:hAnsi="宋体" w:eastAsia="宋体" w:cs="宋体"/>
          <w:color w:val="auto"/>
          <w:sz w:val="24"/>
          <w:szCs w:val="24"/>
          <w:highlight w:val="none"/>
        </w:rPr>
        <w:t>鉴证方就甲方所需服务，在西安国家民用航天产业基地管委会财政局的监督管理下，按照政府采购程序组织</w:t>
      </w:r>
      <w:r>
        <w:rPr>
          <w:rFonts w:hint="eastAsia" w:ascii="宋体" w:hAnsi="宋体" w:eastAsia="宋体" w:cs="宋体"/>
          <w:color w:val="auto"/>
          <w:sz w:val="24"/>
          <w:szCs w:val="24"/>
          <w:highlight w:val="none"/>
          <w:lang w:eastAsia="zh-CN"/>
        </w:rPr>
        <w:t>公开招标</w:t>
      </w:r>
      <w:r>
        <w:rPr>
          <w:rFonts w:hint="eastAsia" w:ascii="宋体" w:hAnsi="宋体" w:eastAsia="宋体" w:cs="宋体"/>
          <w:color w:val="auto"/>
          <w:sz w:val="24"/>
          <w:szCs w:val="24"/>
          <w:highlight w:val="none"/>
        </w:rPr>
        <w:t>，确定乙方为</w:t>
      </w:r>
      <w:r>
        <w:rPr>
          <w:rFonts w:hint="eastAsia" w:ascii="宋体" w:hAnsi="宋体" w:eastAsia="宋体" w:cs="宋体"/>
          <w:color w:val="auto"/>
          <w:sz w:val="24"/>
          <w:szCs w:val="24"/>
          <w:highlight w:val="none"/>
          <w:lang w:eastAsia="zh-CN"/>
        </w:rPr>
        <w:t>（</w:t>
      </w:r>
      <w:r>
        <w:rPr>
          <w:rFonts w:hint="eastAsia" w:ascii="宋体" w:hAnsi="宋体" w:eastAsia="宋体" w:cs="宋体"/>
          <w:b/>
          <w:bCs/>
          <w:color w:val="auto"/>
          <w:sz w:val="24"/>
          <w:szCs w:val="24"/>
          <w:highlight w:val="none"/>
          <w:u w:val="single"/>
          <w:lang w:val="en-US" w:eastAsia="zh-CN"/>
        </w:rPr>
        <w:t>中标</w:t>
      </w:r>
      <w:r>
        <w:rPr>
          <w:rFonts w:hint="eastAsia" w:ascii="宋体" w:hAnsi="宋体" w:eastAsia="宋体" w:cs="宋体"/>
          <w:b/>
          <w:bCs/>
          <w:color w:val="auto"/>
          <w:sz w:val="24"/>
          <w:szCs w:val="24"/>
          <w:highlight w:val="none"/>
          <w:u w:val="single"/>
          <w:lang w:eastAsia="zh-CN"/>
        </w:rPr>
        <w:t>单位名称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中标单位</w:t>
      </w:r>
      <w:r>
        <w:rPr>
          <w:rFonts w:hint="eastAsia" w:ascii="宋体" w:hAnsi="宋体" w:eastAsia="宋体" w:cs="宋体"/>
          <w:color w:val="auto"/>
          <w:sz w:val="24"/>
          <w:szCs w:val="24"/>
          <w:highlight w:val="none"/>
        </w:rPr>
        <w:t>。依据《中华人民共和国政府采购法》、《中华人民共和国民法典》</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u w:val="none"/>
        </w:rPr>
        <w:t>《物业管理条例》</w:t>
      </w:r>
      <w:r>
        <w:rPr>
          <w:rFonts w:hint="eastAsia" w:ascii="宋体" w:hAnsi="宋体" w:eastAsia="宋体" w:cs="宋体"/>
          <w:color w:val="auto"/>
          <w:sz w:val="24"/>
          <w:szCs w:val="24"/>
          <w:highlight w:val="none"/>
        </w:rPr>
        <w:t>以及</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通知书，经甲、乙双方协商，鉴证方确认，达成如下合同条款。</w:t>
      </w:r>
    </w:p>
    <w:p>
      <w:pPr>
        <w:spacing w:line="360" w:lineRule="auto"/>
        <w:rPr>
          <w:rFonts w:hint="eastAsia" w:ascii="宋体" w:hAnsi="宋体" w:eastAsia="宋体" w:cs="宋体"/>
          <w:b/>
          <w:bCs/>
          <w:color w:val="auto"/>
          <w:sz w:val="24"/>
          <w:szCs w:val="24"/>
          <w:u w:val="none"/>
        </w:rPr>
      </w:pPr>
      <w:bookmarkStart w:id="0" w:name="_Toc467005975"/>
      <w:bookmarkStart w:id="1" w:name="_Toc465511157"/>
      <w:bookmarkStart w:id="2" w:name="_Toc467005725"/>
      <w:bookmarkStart w:id="3" w:name="_Toc476761649"/>
      <w:bookmarkStart w:id="4" w:name="_Toc466270646"/>
      <w:bookmarkStart w:id="5" w:name="_Toc465510854"/>
      <w:bookmarkStart w:id="6" w:name="_Toc465511112"/>
      <w:r>
        <w:rPr>
          <w:rFonts w:hint="eastAsia" w:ascii="宋体" w:hAnsi="宋体" w:eastAsia="宋体" w:cs="宋体"/>
          <w:b/>
          <w:bCs/>
          <w:color w:val="auto"/>
          <w:sz w:val="24"/>
          <w:szCs w:val="24"/>
          <w:u w:val="none"/>
        </w:rPr>
        <w:t>一、合同范围</w:t>
      </w:r>
      <w:bookmarkEnd w:id="0"/>
      <w:bookmarkEnd w:id="1"/>
      <w:bookmarkEnd w:id="2"/>
      <w:bookmarkEnd w:id="3"/>
      <w:bookmarkEnd w:id="4"/>
      <w:bookmarkEnd w:id="5"/>
      <w:bookmarkEnd w:id="6"/>
      <w:r>
        <w:rPr>
          <w:rFonts w:hint="eastAsia" w:ascii="宋体" w:hAnsi="宋体" w:eastAsia="宋体" w:cs="宋体"/>
          <w:b/>
          <w:bCs/>
          <w:color w:val="auto"/>
          <w:sz w:val="24"/>
          <w:szCs w:val="24"/>
          <w:u w:val="none"/>
        </w:rPr>
        <w:t>：</w:t>
      </w:r>
    </w:p>
    <w:p>
      <w:pPr>
        <w:shd w:val="clear" w:color="auto" w:fill="FFFFFF"/>
        <w:spacing w:line="360" w:lineRule="auto"/>
        <w:ind w:firstLine="480" w:firstLineChars="200"/>
        <w:rPr>
          <w:rFonts w:hint="eastAsia" w:ascii="宋体" w:hAnsi="宋体" w:eastAsia="宋体" w:cs="宋体"/>
          <w:color w:val="auto"/>
          <w:sz w:val="24"/>
          <w:szCs w:val="24"/>
          <w:u w:val="none"/>
        </w:rPr>
      </w:pPr>
      <w:bookmarkStart w:id="7" w:name="_Toc465511158"/>
      <w:bookmarkStart w:id="8" w:name="_Toc465510855"/>
      <w:bookmarkStart w:id="9" w:name="_Toc467005976"/>
      <w:bookmarkStart w:id="10" w:name="_Toc476761650"/>
      <w:bookmarkStart w:id="11" w:name="_Toc466270647"/>
      <w:bookmarkStart w:id="12" w:name="_Toc467005726"/>
      <w:bookmarkStart w:id="13" w:name="_Toc465511113"/>
      <w:r>
        <w:rPr>
          <w:rFonts w:hint="eastAsia" w:ascii="宋体" w:hAnsi="宋体" w:eastAsia="宋体" w:cs="宋体"/>
          <w:color w:val="auto"/>
          <w:sz w:val="24"/>
          <w:szCs w:val="24"/>
          <w:u w:val="none"/>
        </w:rPr>
        <w:t>详见:西安航天城第二小学物业</w:t>
      </w:r>
      <w:r>
        <w:rPr>
          <w:rFonts w:hint="eastAsia" w:ascii="宋体" w:hAnsi="宋体" w:cs="宋体"/>
          <w:color w:val="auto"/>
          <w:sz w:val="24"/>
          <w:szCs w:val="24"/>
          <w:u w:val="none"/>
          <w:lang w:val="en-US" w:eastAsia="zh-CN"/>
        </w:rPr>
        <w:t>管理服务项目的招标文件、投标文件、答疑文件及承诺书等文件的全部内容</w:t>
      </w:r>
      <w:bookmarkEnd w:id="7"/>
      <w:bookmarkEnd w:id="8"/>
      <w:bookmarkEnd w:id="9"/>
      <w:bookmarkEnd w:id="10"/>
      <w:bookmarkEnd w:id="11"/>
      <w:bookmarkEnd w:id="12"/>
      <w:bookmarkEnd w:id="13"/>
      <w:r>
        <w:rPr>
          <w:rFonts w:hint="eastAsia" w:ascii="宋体" w:hAnsi="宋体" w:cs="宋体"/>
          <w:color w:val="auto"/>
          <w:sz w:val="24"/>
          <w:szCs w:val="24"/>
          <w:u w:val="none"/>
          <w:lang w:val="en-US" w:eastAsia="zh-CN"/>
        </w:rPr>
        <w:t>。</w:t>
      </w:r>
    </w:p>
    <w:p>
      <w:pPr>
        <w:spacing w:line="360" w:lineRule="auto"/>
        <w:rPr>
          <w:rFonts w:hint="eastAsia" w:ascii="宋体" w:hAnsi="宋体" w:eastAsia="宋体" w:cs="宋体"/>
          <w:b/>
          <w:bCs/>
          <w:color w:val="auto"/>
          <w:sz w:val="24"/>
          <w:szCs w:val="24"/>
          <w:u w:val="none"/>
        </w:rPr>
      </w:pPr>
      <w:r>
        <w:rPr>
          <w:rFonts w:hint="eastAsia" w:ascii="宋体" w:hAnsi="宋体" w:eastAsia="宋体" w:cs="宋体"/>
          <w:b/>
          <w:bCs/>
          <w:color w:val="auto"/>
          <w:sz w:val="24"/>
          <w:szCs w:val="24"/>
          <w:u w:val="none"/>
        </w:rPr>
        <w:t>二、服务金额及付款方式：</w:t>
      </w:r>
    </w:p>
    <w:p>
      <w:pPr>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成交合同总价：</w:t>
      </w:r>
      <w:r>
        <w:rPr>
          <w:rFonts w:hint="eastAsia" w:ascii="宋体" w:hAnsi="宋体" w:eastAsia="宋体" w:cs="宋体"/>
          <w:color w:val="auto"/>
          <w:sz w:val="24"/>
          <w:szCs w:val="24"/>
          <w:u w:val="none"/>
        </w:rPr>
        <w:t>（大写）：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元；（小写）：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元</w:t>
      </w:r>
    </w:p>
    <w:p>
      <w:pPr>
        <w:spacing w:line="360" w:lineRule="auto"/>
        <w:ind w:firstLine="480" w:firstLineChars="200"/>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第一年</w:t>
      </w:r>
      <w:r>
        <w:rPr>
          <w:rFonts w:hint="eastAsia" w:ascii="宋体" w:hAnsi="宋体" w:eastAsia="宋体" w:cs="宋体"/>
          <w:color w:val="auto"/>
          <w:sz w:val="24"/>
          <w:szCs w:val="24"/>
          <w:u w:val="none"/>
        </w:rPr>
        <w:t>服务费合同价</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none"/>
        </w:rPr>
        <w:t>（大写）：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元/年；（小写）：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元 /年</w:t>
      </w:r>
      <w:r>
        <w:rPr>
          <w:rFonts w:hint="eastAsia" w:ascii="宋体" w:hAnsi="宋体" w:eastAsia="宋体" w:cs="宋体"/>
          <w:color w:val="auto"/>
          <w:sz w:val="24"/>
          <w:szCs w:val="24"/>
          <w:u w:val="none"/>
          <w:lang w:eastAsia="zh-CN"/>
        </w:rPr>
        <w:t>；</w:t>
      </w:r>
    </w:p>
    <w:p>
      <w:pPr>
        <w:spacing w:line="360" w:lineRule="auto"/>
        <w:ind w:left="479" w:leftChars="228" w:firstLine="0" w:firstLineChars="0"/>
        <w:rPr>
          <w:rFonts w:hint="eastAsia" w:ascii="宋体" w:hAnsi="宋体" w:eastAsia="宋体" w:cs="宋体"/>
          <w:color w:val="auto"/>
          <w:kern w:val="2"/>
          <w:sz w:val="24"/>
          <w:szCs w:val="24"/>
          <w:u w:val="none"/>
          <w:lang w:val="en-US" w:eastAsia="zh-CN" w:bidi="ar-SA"/>
        </w:rPr>
      </w:pPr>
      <w:r>
        <w:rPr>
          <w:rFonts w:hint="eastAsia" w:ascii="宋体" w:hAnsi="宋体" w:eastAsia="宋体" w:cs="宋体"/>
          <w:color w:val="auto"/>
          <w:sz w:val="24"/>
          <w:szCs w:val="24"/>
          <w:u w:val="none"/>
          <w:lang w:eastAsia="zh-CN"/>
        </w:rPr>
        <w:t>第二年</w:t>
      </w:r>
      <w:r>
        <w:rPr>
          <w:rFonts w:hint="eastAsia" w:ascii="宋体" w:hAnsi="宋体" w:eastAsia="宋体" w:cs="宋体"/>
          <w:color w:val="auto"/>
          <w:sz w:val="24"/>
          <w:szCs w:val="24"/>
          <w:u w:val="none"/>
        </w:rPr>
        <w:t>服务费合同价</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none"/>
        </w:rPr>
        <w:t>（大写）：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元/年；（小写）：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元 /年</w:t>
      </w:r>
      <w:r>
        <w:rPr>
          <w:rFonts w:hint="eastAsia" w:ascii="宋体" w:hAnsi="宋体" w:cs="宋体"/>
          <w:color w:val="auto"/>
          <w:sz w:val="24"/>
          <w:szCs w:val="24"/>
          <w:u w:val="none"/>
          <w:lang w:eastAsia="zh-CN"/>
        </w:rPr>
        <w:t>。</w:t>
      </w:r>
    </w:p>
    <w:p>
      <w:pPr>
        <w:numPr>
          <w:ilvl w:val="0"/>
          <w:numId w:val="1"/>
        </w:numPr>
        <w:spacing w:line="360" w:lineRule="auto"/>
        <w:ind w:firstLine="480" w:firstLineChars="200"/>
        <w:rPr>
          <w:rFonts w:hint="eastAsia" w:ascii="宋体" w:hAnsi="宋体" w:eastAsia="宋体" w:cs="宋体"/>
          <w:color w:val="auto"/>
          <w:sz w:val="24"/>
          <w:szCs w:val="24"/>
          <w:u w:val="none"/>
          <w:lang w:eastAsia="zh-CN"/>
        </w:rPr>
      </w:pPr>
      <w:r>
        <w:rPr>
          <w:rFonts w:hint="eastAsia" w:ascii="宋体" w:hAnsi="宋体" w:cs="宋体"/>
          <w:color w:val="auto"/>
          <w:sz w:val="24"/>
          <w:szCs w:val="24"/>
          <w:u w:val="none"/>
          <w:lang w:eastAsia="zh-CN"/>
        </w:rPr>
        <w:t>招标人</w:t>
      </w:r>
      <w:r>
        <w:rPr>
          <w:rFonts w:hint="eastAsia" w:ascii="宋体" w:hAnsi="宋体" w:eastAsia="宋体" w:cs="宋体"/>
          <w:color w:val="auto"/>
          <w:sz w:val="24"/>
          <w:szCs w:val="24"/>
          <w:u w:val="none"/>
        </w:rPr>
        <w:t>每季度考核一次，经综合考核记录，考核满意率在90%以上，支付当季</w:t>
      </w:r>
      <w:r>
        <w:rPr>
          <w:rFonts w:hint="eastAsia" w:ascii="宋体" w:hAnsi="宋体" w:eastAsia="宋体" w:cs="宋体"/>
          <w:color w:val="auto"/>
          <w:sz w:val="24"/>
          <w:szCs w:val="24"/>
          <w:u w:val="none"/>
          <w:lang w:eastAsia="zh-CN"/>
        </w:rPr>
        <w:t>度</w:t>
      </w:r>
      <w:r>
        <w:rPr>
          <w:rFonts w:hint="eastAsia" w:ascii="宋体" w:hAnsi="宋体" w:eastAsia="宋体" w:cs="宋体"/>
          <w:color w:val="auto"/>
          <w:sz w:val="24"/>
          <w:szCs w:val="24"/>
          <w:u w:val="none"/>
        </w:rPr>
        <w:t>应付金额；满意率在89%-85%以下，支付当</w:t>
      </w:r>
      <w:r>
        <w:rPr>
          <w:rFonts w:hint="eastAsia" w:ascii="宋体" w:hAnsi="宋体" w:eastAsia="宋体" w:cs="宋体"/>
          <w:color w:val="auto"/>
          <w:sz w:val="24"/>
          <w:szCs w:val="24"/>
          <w:u w:val="none"/>
          <w:lang w:eastAsia="zh-CN"/>
        </w:rPr>
        <w:t>季度</w:t>
      </w:r>
      <w:r>
        <w:rPr>
          <w:rFonts w:hint="eastAsia" w:ascii="宋体" w:hAnsi="宋体" w:eastAsia="宋体" w:cs="宋体"/>
          <w:color w:val="auto"/>
          <w:sz w:val="24"/>
          <w:szCs w:val="24"/>
          <w:u w:val="none"/>
        </w:rPr>
        <w:t>应付金额的95%；满意率在84%-80%以下，支付当</w:t>
      </w:r>
      <w:r>
        <w:rPr>
          <w:rFonts w:hint="eastAsia" w:ascii="宋体" w:hAnsi="宋体" w:eastAsia="宋体" w:cs="宋体"/>
          <w:color w:val="auto"/>
          <w:sz w:val="24"/>
          <w:szCs w:val="24"/>
          <w:u w:val="none"/>
          <w:lang w:eastAsia="zh-CN"/>
        </w:rPr>
        <w:t>季度</w:t>
      </w:r>
      <w:r>
        <w:rPr>
          <w:rFonts w:hint="eastAsia" w:ascii="宋体" w:hAnsi="宋体" w:eastAsia="宋体" w:cs="宋体"/>
          <w:color w:val="auto"/>
          <w:sz w:val="24"/>
          <w:szCs w:val="24"/>
          <w:u w:val="none"/>
        </w:rPr>
        <w:t>应付金额的90%；连续两个季度满意率在80%以下，</w:t>
      </w:r>
      <w:r>
        <w:rPr>
          <w:rFonts w:hint="eastAsia" w:ascii="宋体" w:hAnsi="宋体" w:cs="宋体"/>
          <w:color w:val="auto"/>
          <w:sz w:val="24"/>
          <w:szCs w:val="24"/>
          <w:u w:val="none"/>
          <w:lang w:eastAsia="zh-CN"/>
        </w:rPr>
        <w:t>招标人</w:t>
      </w:r>
      <w:r>
        <w:rPr>
          <w:rFonts w:hint="eastAsia" w:ascii="宋体" w:hAnsi="宋体" w:eastAsia="宋体" w:cs="宋体"/>
          <w:color w:val="auto"/>
          <w:sz w:val="24"/>
          <w:szCs w:val="24"/>
          <w:u w:val="none"/>
        </w:rPr>
        <w:t>有权解除合同</w:t>
      </w:r>
      <w:r>
        <w:rPr>
          <w:rFonts w:hint="eastAsia" w:ascii="宋体" w:hAnsi="宋体" w:eastAsia="宋体" w:cs="宋体"/>
          <w:color w:val="auto"/>
          <w:sz w:val="24"/>
          <w:szCs w:val="24"/>
          <w:u w:val="none"/>
          <w:lang w:eastAsia="zh-CN"/>
        </w:rPr>
        <w:t>。</w:t>
      </w:r>
    </w:p>
    <w:p>
      <w:pPr>
        <w:numPr>
          <w:ilvl w:val="0"/>
          <w:numId w:val="0"/>
        </w:numPr>
        <w:spacing w:line="360" w:lineRule="auto"/>
        <w:ind w:firstLine="482" w:firstLineChars="200"/>
        <w:rPr>
          <w:rFonts w:hint="eastAsia" w:ascii="宋体" w:hAnsi="宋体" w:eastAsia="宋体" w:cs="宋体"/>
          <w:b/>
          <w:bCs/>
          <w:color w:val="auto"/>
          <w:sz w:val="24"/>
          <w:szCs w:val="24"/>
          <w:u w:val="none"/>
          <w:lang w:eastAsia="zh-CN"/>
        </w:rPr>
      </w:pPr>
      <w:r>
        <w:rPr>
          <w:rFonts w:hint="eastAsia" w:ascii="宋体" w:hAnsi="宋体" w:eastAsia="宋体" w:cs="宋体"/>
          <w:b/>
          <w:bCs/>
          <w:color w:val="auto"/>
          <w:sz w:val="24"/>
          <w:szCs w:val="24"/>
          <w:u w:val="none"/>
          <w:lang w:eastAsia="zh-CN"/>
        </w:rPr>
        <w:t>备注：考核标准</w:t>
      </w:r>
      <w:r>
        <w:rPr>
          <w:rFonts w:hint="eastAsia" w:ascii="宋体" w:hAnsi="宋体" w:cs="宋体"/>
          <w:b/>
          <w:bCs/>
          <w:color w:val="auto"/>
          <w:sz w:val="24"/>
          <w:szCs w:val="24"/>
          <w:u w:val="none"/>
          <w:lang w:eastAsia="zh-CN"/>
        </w:rPr>
        <w:t>可</w:t>
      </w:r>
      <w:r>
        <w:rPr>
          <w:rFonts w:hint="eastAsia" w:ascii="宋体" w:hAnsi="宋体" w:eastAsia="宋体" w:cs="宋体"/>
          <w:b/>
          <w:bCs/>
          <w:color w:val="auto"/>
          <w:sz w:val="24"/>
          <w:szCs w:val="24"/>
          <w:u w:val="none"/>
          <w:lang w:eastAsia="zh-CN"/>
        </w:rPr>
        <w:t>按照甲方后期制</w:t>
      </w:r>
      <w:r>
        <w:rPr>
          <w:rFonts w:hint="eastAsia" w:ascii="宋体" w:hAnsi="宋体" w:cs="宋体"/>
          <w:b/>
          <w:bCs/>
          <w:color w:val="auto"/>
          <w:sz w:val="24"/>
          <w:szCs w:val="24"/>
          <w:u w:val="none"/>
          <w:lang w:eastAsia="zh-CN"/>
        </w:rPr>
        <w:t>定的</w:t>
      </w:r>
      <w:r>
        <w:rPr>
          <w:rFonts w:hint="eastAsia" w:ascii="宋体" w:hAnsi="宋体" w:eastAsia="宋体" w:cs="宋体"/>
          <w:b/>
          <w:bCs/>
          <w:color w:val="auto"/>
          <w:sz w:val="24"/>
          <w:szCs w:val="24"/>
          <w:u w:val="none"/>
          <w:lang w:eastAsia="zh-CN"/>
        </w:rPr>
        <w:t>标准为准。</w:t>
      </w:r>
    </w:p>
    <w:p>
      <w:pPr>
        <w:numPr>
          <w:ilvl w:val="0"/>
          <w:numId w:val="1"/>
        </w:numPr>
        <w:tabs>
          <w:tab w:val="left" w:pos="465"/>
          <w:tab w:val="clear" w:pos="312"/>
        </w:tabs>
        <w:spacing w:line="360" w:lineRule="auto"/>
        <w:ind w:left="0" w:leftChars="0" w:firstLine="480" w:firstLineChars="200"/>
        <w:rPr>
          <w:rFonts w:hint="eastAsia" w:ascii="宋体" w:hAnsi="宋体" w:cs="宋体"/>
          <w:color w:val="auto"/>
          <w:sz w:val="24"/>
          <w:szCs w:val="24"/>
          <w:u w:val="none"/>
          <w:lang w:val="en-US" w:eastAsia="zh-CN"/>
        </w:rPr>
      </w:pPr>
      <w:r>
        <w:rPr>
          <w:rFonts w:hint="eastAsia" w:ascii="宋体" w:hAnsi="宋体" w:cs="宋体"/>
          <w:color w:val="auto"/>
          <w:sz w:val="24"/>
          <w:szCs w:val="24"/>
          <w:u w:val="none"/>
          <w:lang w:val="en-US" w:eastAsia="zh-CN"/>
        </w:rPr>
        <w:t>付款方式：</w:t>
      </w:r>
    </w:p>
    <w:p>
      <w:pPr>
        <w:numPr>
          <w:numId w:val="0"/>
        </w:numPr>
        <w:tabs>
          <w:tab w:val="left" w:pos="465"/>
        </w:tabs>
        <w:spacing w:line="360" w:lineRule="auto"/>
        <w:ind w:left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付款条件说明： 2024年10月至2024年12月31日，合同签订后服务期考核合格后 ，达到付款条件起 30 日内，支付合同总金额的 16.00%。</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付款条件说明： 2025年1月1日至2025年3月31日，合同签订后服务期考核合格后 ，达到付款条件起 30 日内，支付合同总金额的 14.00%。</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付款条件说明： 2025年4月1日至2025年6月30日，合同签订后服务期考核合格后 ，达到付款条件起 30 日内，支付合同总金额的 14.00%。</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付款条件说明： 2025年7月1日至2025年9月30日，合同签订后服务期考核合格后 ，达到付款条件起 30 日内，支付合同总金额的 14.00%。</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 付款条件说明： 2025年10月1日至2025年12月31日，合同签订后服务期考核合格后 ，达到付款条件起 30 日内，支付合同总金额的 14.00%。</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 付款条件说明： 2026年1月1日至2026年3月31日，合同签订后服务期考核合格后 ，达到付款条件起 30 日内，支付合同总金额的 14.00%。</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 付款条件说明： 2026年4月1日至2026年6月30日，合同签订后服务期考核合格后 ，达到付款条件起 30 日内，支付合同总金额的 14.00%。</w:t>
      </w:r>
    </w:p>
    <w:p>
      <w:pPr>
        <w:tabs>
          <w:tab w:val="left" w:pos="465"/>
        </w:tabs>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甲方支付的款项由乙方提供相应金额的增值税普通发票，甲方应于次</w:t>
      </w:r>
      <w:r>
        <w:rPr>
          <w:rFonts w:hint="eastAsia" w:ascii="宋体" w:hAnsi="宋体" w:eastAsia="宋体" w:cs="宋体"/>
          <w:color w:val="auto"/>
          <w:sz w:val="24"/>
          <w:szCs w:val="24"/>
          <w:u w:val="none"/>
          <w:lang w:eastAsia="zh-CN"/>
        </w:rPr>
        <w:t>季度第一个月</w:t>
      </w:r>
      <w:r>
        <w:rPr>
          <w:rFonts w:hint="eastAsia" w:ascii="宋体" w:hAnsi="宋体" w:eastAsia="宋体" w:cs="宋体"/>
          <w:color w:val="auto"/>
          <w:sz w:val="24"/>
          <w:szCs w:val="24"/>
          <w:u w:val="none"/>
          <w:lang w:val="en-US" w:eastAsia="zh-CN"/>
        </w:rPr>
        <w:t>30</w:t>
      </w:r>
      <w:r>
        <w:rPr>
          <w:rFonts w:hint="eastAsia" w:ascii="宋体" w:hAnsi="宋体" w:eastAsia="宋体" w:cs="宋体"/>
          <w:color w:val="auto"/>
          <w:sz w:val="24"/>
          <w:szCs w:val="24"/>
          <w:u w:val="none"/>
        </w:rPr>
        <w:t>日前将上</w:t>
      </w:r>
      <w:r>
        <w:rPr>
          <w:rFonts w:hint="eastAsia" w:ascii="宋体" w:hAnsi="宋体" w:eastAsia="宋体" w:cs="宋体"/>
          <w:color w:val="auto"/>
          <w:sz w:val="24"/>
          <w:szCs w:val="24"/>
          <w:u w:val="none"/>
          <w:lang w:eastAsia="zh-CN"/>
        </w:rPr>
        <w:t>季度</w:t>
      </w:r>
      <w:r>
        <w:rPr>
          <w:rFonts w:hint="eastAsia" w:ascii="宋体" w:hAnsi="宋体" w:eastAsia="宋体" w:cs="宋体"/>
          <w:color w:val="auto"/>
          <w:sz w:val="24"/>
          <w:szCs w:val="24"/>
          <w:u w:val="none"/>
        </w:rPr>
        <w:t>物业服务费支付至乙方指定账户。</w:t>
      </w:r>
    </w:p>
    <w:p>
      <w:pPr>
        <w:spacing w:line="360" w:lineRule="auto"/>
        <w:rPr>
          <w:rFonts w:hint="eastAsia" w:ascii="宋体" w:hAnsi="宋体" w:eastAsia="宋体" w:cs="宋体"/>
          <w:b/>
          <w:bCs/>
          <w:color w:val="auto"/>
          <w:sz w:val="24"/>
          <w:szCs w:val="24"/>
          <w:u w:val="none"/>
        </w:rPr>
      </w:pPr>
      <w:r>
        <w:rPr>
          <w:rFonts w:hint="eastAsia" w:ascii="宋体" w:hAnsi="宋体" w:eastAsia="宋体" w:cs="宋体"/>
          <w:b/>
          <w:bCs/>
          <w:color w:val="auto"/>
          <w:sz w:val="24"/>
          <w:szCs w:val="24"/>
          <w:u w:val="none"/>
        </w:rPr>
        <w:t>三、服务地点、服务周期及服务质量：</w:t>
      </w: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1. 服务地点：</w:t>
      </w:r>
      <w:r>
        <w:rPr>
          <w:rFonts w:hint="eastAsia" w:ascii="宋体" w:hAnsi="宋体" w:cs="宋体"/>
          <w:color w:val="auto"/>
          <w:sz w:val="24"/>
          <w:szCs w:val="24"/>
          <w:u w:val="none"/>
          <w:lang w:eastAsia="zh-CN"/>
        </w:rPr>
        <w:t>西安航天城第二小学</w:t>
      </w:r>
      <w:r>
        <w:rPr>
          <w:rFonts w:hint="eastAsia" w:ascii="宋体" w:hAnsi="宋体" w:eastAsia="宋体" w:cs="宋体"/>
          <w:color w:val="auto"/>
          <w:sz w:val="24"/>
          <w:szCs w:val="24"/>
          <w:u w:val="none"/>
        </w:rPr>
        <w:t>。</w:t>
      </w:r>
    </w:p>
    <w:p>
      <w:pPr>
        <w:spacing w:line="360" w:lineRule="auto"/>
        <w:ind w:firstLine="480" w:firstLineChars="200"/>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rPr>
        <w:t xml:space="preserve">2. </w:t>
      </w:r>
      <w:r>
        <w:rPr>
          <w:rFonts w:hint="eastAsia" w:ascii="宋体" w:hAnsi="宋体" w:eastAsia="宋体" w:cs="宋体"/>
          <w:color w:val="auto"/>
          <w:sz w:val="24"/>
          <w:szCs w:val="24"/>
          <w:u w:val="none"/>
          <w:lang w:eastAsia="zh-CN"/>
        </w:rPr>
        <w:t>服务期限：2024年</w:t>
      </w:r>
      <w:r>
        <w:rPr>
          <w:rFonts w:hint="eastAsia" w:ascii="宋体" w:hAnsi="宋体" w:eastAsia="宋体" w:cs="宋体"/>
          <w:color w:val="auto"/>
          <w:sz w:val="24"/>
          <w:szCs w:val="24"/>
          <w:u w:val="none"/>
          <w:lang w:val="en-US" w:eastAsia="zh-CN"/>
        </w:rPr>
        <w:t>10</w:t>
      </w:r>
      <w:r>
        <w:rPr>
          <w:rFonts w:hint="eastAsia" w:ascii="宋体" w:hAnsi="宋体" w:eastAsia="宋体" w:cs="宋体"/>
          <w:color w:val="auto"/>
          <w:sz w:val="24"/>
          <w:szCs w:val="24"/>
          <w:u w:val="none"/>
          <w:lang w:eastAsia="zh-CN"/>
        </w:rPr>
        <w:t>月至2026年6月30日。</w:t>
      </w:r>
    </w:p>
    <w:p>
      <w:pPr>
        <w:spacing w:line="360" w:lineRule="auto"/>
        <w:ind w:firstLine="480" w:firstLineChars="200"/>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备注：具体起始时间以合同签订的时间为准，服务合同1年一签，每满1年后，第2年由招标人根据供应商综合考核情况，可以选择续签合同，也可重新选择受托单位。</w:t>
      </w:r>
    </w:p>
    <w:p>
      <w:pPr>
        <w:spacing w:line="360" w:lineRule="auto"/>
        <w:ind w:firstLine="480" w:firstLineChars="200"/>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3.服务质量：质量符合国家、行业、地方规定以及遴选文件规定的质量及安全标准要求。</w:t>
      </w:r>
    </w:p>
    <w:p>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u w:val="none"/>
        </w:rPr>
        <w:t>四、</w:t>
      </w:r>
      <w:r>
        <w:rPr>
          <w:rFonts w:hint="eastAsia" w:ascii="宋体" w:hAnsi="宋体" w:eastAsia="宋体" w:cs="宋体"/>
          <w:b/>
          <w:bCs/>
          <w:color w:val="auto"/>
          <w:sz w:val="24"/>
          <w:szCs w:val="24"/>
          <w:highlight w:val="none"/>
        </w:rPr>
        <w:t>管理服务人员配置标准</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物业管理人员配备不少于19人。</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其中项目经理1人； </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保洁6人； </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保安9人，包含队长1人。 </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绿化1人； </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维修维护1人； </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信息维护1人； </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以上物业人员中至少保证一人持有注册消防工程师证书。 </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拟派人员必须满足本项目服务需求，投标人应根据服务情况提供相应的服务人员，以保证服务质量。 投标人应当按国家相关法律法规，合理确定服务人员工资标准、工作时间等。 </w:t>
      </w:r>
    </w:p>
    <w:p>
      <w:pPr>
        <w:tabs>
          <w:tab w:val="left" w:pos="465"/>
        </w:tabs>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投标人应当自行为服务人员办理必需的保险，有关人员伤亡及第三者责任险均应当考虑在报价因素中。</w:t>
      </w:r>
    </w:p>
    <w:p>
      <w:pPr>
        <w:tabs>
          <w:tab w:val="left" w:pos="465"/>
        </w:tabs>
        <w:spacing w:line="360" w:lineRule="auto"/>
        <w:ind w:firstLine="482" w:firstLineChars="200"/>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本项目拟派人员详细信息表：</w:t>
      </w:r>
    </w:p>
    <w:tbl>
      <w:tblPr>
        <w:tblStyle w:val="8"/>
        <w:tblpPr w:leftFromText="180" w:rightFromText="180" w:vertAnchor="text" w:tblpXSpec="center" w:tblpY="1"/>
        <w:tblOverlap w:val="never"/>
        <w:tblW w:w="98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976"/>
        <w:gridCol w:w="862"/>
        <w:gridCol w:w="862"/>
        <w:gridCol w:w="1718"/>
        <w:gridCol w:w="891"/>
        <w:gridCol w:w="1162"/>
        <w:gridCol w:w="1345"/>
        <w:gridCol w:w="1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姓 名</w:t>
            </w: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年龄</w:t>
            </w: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性别</w:t>
            </w:r>
          </w:p>
        </w:tc>
        <w:tc>
          <w:tcPr>
            <w:tcW w:w="17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本项目中</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担任职务</w:t>
            </w:r>
          </w:p>
        </w:tc>
        <w:tc>
          <w:tcPr>
            <w:tcW w:w="8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学历</w:t>
            </w:r>
          </w:p>
        </w:tc>
        <w:tc>
          <w:tcPr>
            <w:tcW w:w="11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岗位有关证件</w:t>
            </w:r>
          </w:p>
        </w:tc>
        <w:tc>
          <w:tcPr>
            <w:tcW w:w="13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类似项目</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经验</w:t>
            </w:r>
          </w:p>
        </w:tc>
        <w:tc>
          <w:tcPr>
            <w:tcW w:w="127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7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8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1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3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27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7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保洁人员</w:t>
            </w:r>
          </w:p>
        </w:tc>
        <w:tc>
          <w:tcPr>
            <w:tcW w:w="8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1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3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27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7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保安人员</w:t>
            </w:r>
          </w:p>
        </w:tc>
        <w:tc>
          <w:tcPr>
            <w:tcW w:w="8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1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3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27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4</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7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绿化人员</w:t>
            </w:r>
          </w:p>
        </w:tc>
        <w:tc>
          <w:tcPr>
            <w:tcW w:w="8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1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3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27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5</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7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维修维护</w:t>
            </w:r>
            <w:r>
              <w:rPr>
                <w:rFonts w:hint="eastAsia" w:ascii="宋体" w:hAnsi="宋体" w:cs="宋体"/>
                <w:color w:val="auto"/>
                <w:sz w:val="24"/>
                <w:szCs w:val="24"/>
                <w:highlight w:val="none"/>
                <w:lang w:eastAsia="zh-CN"/>
              </w:rPr>
              <w:t>人员</w:t>
            </w:r>
          </w:p>
        </w:tc>
        <w:tc>
          <w:tcPr>
            <w:tcW w:w="8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1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3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27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6</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7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信息维护人员</w:t>
            </w:r>
          </w:p>
        </w:tc>
        <w:tc>
          <w:tcPr>
            <w:tcW w:w="8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1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3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27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7</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8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7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w:t>
            </w:r>
          </w:p>
        </w:tc>
        <w:tc>
          <w:tcPr>
            <w:tcW w:w="8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1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3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c>
          <w:tcPr>
            <w:tcW w:w="127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p>
        </w:tc>
      </w:tr>
    </w:tbl>
    <w:p>
      <w:pPr>
        <w:spacing w:line="360" w:lineRule="auto"/>
        <w:rPr>
          <w:rFonts w:hint="eastAsia" w:ascii="宋体" w:hAnsi="宋体" w:eastAsia="宋体" w:cs="宋体"/>
          <w:b/>
          <w:bCs/>
          <w:color w:val="auto"/>
          <w:sz w:val="24"/>
          <w:szCs w:val="24"/>
          <w:u w:val="none"/>
        </w:rPr>
      </w:pPr>
      <w:bookmarkStart w:id="14" w:name="_GoBack"/>
      <w:bookmarkEnd w:id="14"/>
      <w:r>
        <w:rPr>
          <w:rFonts w:hint="eastAsia" w:ascii="宋体" w:hAnsi="宋体" w:eastAsia="宋体" w:cs="宋体"/>
          <w:b/>
          <w:bCs/>
          <w:color w:val="auto"/>
          <w:sz w:val="24"/>
          <w:szCs w:val="24"/>
          <w:u w:val="none"/>
          <w:lang w:val="en-US" w:eastAsia="zh-CN"/>
        </w:rPr>
        <w:t>五、</w:t>
      </w:r>
      <w:r>
        <w:rPr>
          <w:rFonts w:hint="eastAsia" w:ascii="宋体" w:hAnsi="宋体" w:eastAsia="宋体" w:cs="宋体"/>
          <w:b/>
          <w:bCs/>
          <w:color w:val="auto"/>
          <w:sz w:val="24"/>
          <w:szCs w:val="24"/>
          <w:u w:val="none"/>
        </w:rPr>
        <w:t>甲方的权利与义务：</w:t>
      </w:r>
    </w:p>
    <w:p>
      <w:pPr>
        <w:spacing w:line="360" w:lineRule="auto"/>
        <w:ind w:firstLine="600" w:firstLineChars="25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1. 为乙方的工作开展提供必要的工作配合；</w:t>
      </w:r>
    </w:p>
    <w:p>
      <w:pPr>
        <w:spacing w:line="360" w:lineRule="auto"/>
        <w:ind w:firstLine="600" w:firstLineChars="25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2. 有权向乙方询问工作进展情况及相关内容；</w:t>
      </w:r>
    </w:p>
    <w:p>
      <w:pPr>
        <w:spacing w:line="360" w:lineRule="auto"/>
        <w:ind w:firstLine="600" w:firstLineChars="25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3. 负责对乙方的服务质量、履约情况进行监督管理；</w:t>
      </w:r>
    </w:p>
    <w:p>
      <w:pPr>
        <w:spacing w:line="360" w:lineRule="auto"/>
        <w:ind w:firstLine="600" w:firstLineChars="25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4. 按约定向乙方支付相关服务费用；</w:t>
      </w:r>
    </w:p>
    <w:p>
      <w:pPr>
        <w:spacing w:line="360" w:lineRule="auto"/>
        <w:ind w:firstLine="600" w:firstLineChars="25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5.其他按照国家物业管理方面的法规所能适用的有关业主方的权利。</w:t>
      </w:r>
    </w:p>
    <w:p>
      <w:pPr>
        <w:spacing w:line="360" w:lineRule="auto"/>
        <w:rPr>
          <w:rFonts w:hint="eastAsia" w:ascii="宋体" w:hAnsi="宋体" w:eastAsia="宋体" w:cs="宋体"/>
          <w:b/>
          <w:bCs/>
          <w:color w:val="auto"/>
          <w:sz w:val="24"/>
          <w:szCs w:val="24"/>
          <w:u w:val="none"/>
        </w:rPr>
      </w:pPr>
      <w:r>
        <w:rPr>
          <w:rFonts w:hint="eastAsia" w:ascii="宋体" w:hAnsi="宋体" w:eastAsia="宋体" w:cs="宋体"/>
          <w:b/>
          <w:bCs/>
          <w:color w:val="auto"/>
          <w:sz w:val="24"/>
          <w:szCs w:val="24"/>
          <w:u w:val="none"/>
          <w:lang w:val="en-US" w:eastAsia="zh-CN"/>
        </w:rPr>
        <w:t>六</w:t>
      </w:r>
      <w:r>
        <w:rPr>
          <w:rFonts w:hint="eastAsia" w:ascii="宋体" w:hAnsi="宋体" w:eastAsia="宋体" w:cs="宋体"/>
          <w:b/>
          <w:bCs/>
          <w:color w:val="auto"/>
          <w:sz w:val="24"/>
          <w:szCs w:val="24"/>
          <w:u w:val="none"/>
        </w:rPr>
        <w:t>、乙方的权利与义务：</w:t>
      </w:r>
    </w:p>
    <w:p>
      <w:pPr>
        <w:spacing w:line="360" w:lineRule="auto"/>
        <w:ind w:firstLine="600" w:firstLineChars="25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1.参照国家有关物业管理法规所涉及到的物业管理公司应承担的义务。</w:t>
      </w:r>
    </w:p>
    <w:p>
      <w:pPr>
        <w:spacing w:line="360" w:lineRule="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必须严格按照相关规定开展工作，并接受甲方的监督。</w:t>
      </w:r>
    </w:p>
    <w:p>
      <w:pPr>
        <w:spacing w:line="360" w:lineRule="auto"/>
        <w:ind w:firstLine="600" w:firstLineChars="250"/>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rPr>
        <w:t>2.在签订合同后</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none"/>
        </w:rPr>
        <w:t>尽快安排人员到位并提供服务</w:t>
      </w:r>
      <w:r>
        <w:rPr>
          <w:rFonts w:hint="eastAsia" w:ascii="宋体" w:hAnsi="宋体" w:eastAsia="宋体" w:cs="宋体"/>
          <w:color w:val="auto"/>
          <w:sz w:val="24"/>
          <w:szCs w:val="24"/>
          <w:u w:val="none"/>
          <w:lang w:val="en-US" w:eastAsia="zh-CN"/>
        </w:rPr>
        <w:t>。</w:t>
      </w:r>
    </w:p>
    <w:p>
      <w:pPr>
        <w:spacing w:line="360" w:lineRule="auto"/>
        <w:ind w:firstLine="600" w:firstLineChars="25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3.不得将甲方委托的业务转包或分包给其他单位或个人。</w:t>
      </w:r>
    </w:p>
    <w:p>
      <w:pPr>
        <w:spacing w:line="360" w:lineRule="auto"/>
        <w:ind w:firstLine="600" w:firstLineChars="25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4.在工作中，应当客观公正、实事求是、廉洁自律，并保持严谨、稳健、负责的职业态度。</w:t>
      </w:r>
    </w:p>
    <w:p>
      <w:pPr>
        <w:spacing w:line="360" w:lineRule="auto"/>
        <w:ind w:firstLine="600" w:firstLineChars="25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5.真实反映结果，并撰写相关报告。</w:t>
      </w:r>
    </w:p>
    <w:p>
      <w:pPr>
        <w:spacing w:line="360" w:lineRule="auto"/>
        <w:ind w:firstLine="600" w:firstLineChars="25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6.承担物业办公的水电费用。</w:t>
      </w:r>
    </w:p>
    <w:p>
      <w:pPr>
        <w:spacing w:line="360" w:lineRule="auto"/>
        <w:ind w:firstLine="600" w:firstLineChars="25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7.包括但不限于上述所列举出来的本应属于乙方应承担的其他法定义务。</w:t>
      </w:r>
    </w:p>
    <w:p>
      <w:pPr>
        <w:spacing w:line="360" w:lineRule="auto"/>
        <w:ind w:firstLine="600" w:firstLineChars="25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8.建立完善的物业管理资料并妥善保管和使用。</w:t>
      </w:r>
    </w:p>
    <w:p>
      <w:pPr>
        <w:spacing w:line="360" w:lineRule="auto"/>
        <w:ind w:firstLine="600" w:firstLineChars="25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9.乙方不得擅自将业主所有的共用部分用于经营活动。</w:t>
      </w:r>
    </w:p>
    <w:p>
      <w:pPr>
        <w:spacing w:line="360" w:lineRule="auto"/>
        <w:rPr>
          <w:rFonts w:hint="eastAsia" w:ascii="宋体" w:hAnsi="宋体" w:eastAsia="宋体" w:cs="宋体"/>
          <w:b/>
          <w:bCs/>
          <w:color w:val="auto"/>
          <w:sz w:val="24"/>
          <w:szCs w:val="24"/>
          <w:u w:val="none"/>
        </w:rPr>
      </w:pPr>
      <w:r>
        <w:rPr>
          <w:rFonts w:hint="eastAsia" w:ascii="宋体" w:hAnsi="宋体" w:eastAsia="宋体" w:cs="宋体"/>
          <w:b/>
          <w:bCs/>
          <w:color w:val="auto"/>
          <w:sz w:val="24"/>
          <w:szCs w:val="24"/>
          <w:u w:val="none"/>
          <w:lang w:val="en-US" w:eastAsia="zh-CN"/>
        </w:rPr>
        <w:t>七</w:t>
      </w:r>
      <w:r>
        <w:rPr>
          <w:rFonts w:hint="eastAsia" w:ascii="宋体" w:hAnsi="宋体" w:eastAsia="宋体" w:cs="宋体"/>
          <w:b/>
          <w:bCs/>
          <w:color w:val="auto"/>
          <w:sz w:val="24"/>
          <w:szCs w:val="24"/>
          <w:u w:val="none"/>
        </w:rPr>
        <w:t>、服务内容及标准：</w:t>
      </w:r>
    </w:p>
    <w:p>
      <w:pPr>
        <w:spacing w:line="360" w:lineRule="auto"/>
        <w:ind w:firstLine="482" w:firstLineChars="200"/>
        <w:rPr>
          <w:rFonts w:hint="eastAsia" w:ascii="宋体" w:hAnsi="宋体" w:eastAsia="宋体" w:cs="宋体"/>
          <w:b/>
          <w:bCs w:val="0"/>
          <w:color w:val="auto"/>
          <w:sz w:val="24"/>
          <w:szCs w:val="24"/>
          <w:highlight w:val="none"/>
          <w:u w:val="none"/>
        </w:rPr>
      </w:pPr>
      <w:r>
        <w:rPr>
          <w:rFonts w:hint="eastAsia" w:ascii="宋体" w:hAnsi="宋体" w:eastAsia="宋体" w:cs="宋体"/>
          <w:b/>
          <w:bCs w:val="0"/>
          <w:color w:val="auto"/>
          <w:sz w:val="24"/>
          <w:szCs w:val="24"/>
          <w:highlight w:val="none"/>
          <w:u w:val="single"/>
          <w:lang w:val="en-US" w:eastAsia="zh-CN"/>
        </w:rPr>
        <w:t>服务内容：以</w:t>
      </w:r>
      <w:r>
        <w:rPr>
          <w:rFonts w:hint="eastAsia" w:ascii="宋体" w:hAnsi="宋体" w:cs="宋体"/>
          <w:b/>
          <w:bCs w:val="0"/>
          <w:color w:val="auto"/>
          <w:sz w:val="24"/>
          <w:szCs w:val="24"/>
          <w:highlight w:val="none"/>
          <w:u w:val="single"/>
          <w:lang w:val="en-US" w:eastAsia="zh-CN"/>
        </w:rPr>
        <w:t>招标文件</w:t>
      </w:r>
      <w:r>
        <w:rPr>
          <w:rFonts w:hint="eastAsia" w:ascii="宋体" w:hAnsi="宋体" w:eastAsia="宋体" w:cs="宋体"/>
          <w:b/>
          <w:bCs w:val="0"/>
          <w:color w:val="auto"/>
          <w:sz w:val="24"/>
          <w:szCs w:val="24"/>
          <w:highlight w:val="none"/>
          <w:u w:val="single"/>
          <w:lang w:val="en-US" w:eastAsia="zh-CN"/>
        </w:rPr>
        <w:t>要求及</w:t>
      </w:r>
      <w:r>
        <w:rPr>
          <w:rFonts w:hint="eastAsia" w:ascii="宋体" w:hAnsi="宋体" w:cs="宋体"/>
          <w:b/>
          <w:bCs w:val="0"/>
          <w:color w:val="auto"/>
          <w:sz w:val="24"/>
          <w:szCs w:val="24"/>
          <w:highlight w:val="none"/>
          <w:u w:val="single"/>
          <w:lang w:val="en-US" w:eastAsia="zh-CN"/>
        </w:rPr>
        <w:t>投标文件</w:t>
      </w:r>
      <w:r>
        <w:rPr>
          <w:rFonts w:hint="eastAsia" w:ascii="宋体" w:hAnsi="宋体" w:eastAsia="宋体" w:cs="宋体"/>
          <w:b/>
          <w:bCs w:val="0"/>
          <w:color w:val="auto"/>
          <w:sz w:val="24"/>
          <w:szCs w:val="24"/>
          <w:highlight w:val="none"/>
          <w:u w:val="single"/>
          <w:lang w:val="en-US" w:eastAsia="zh-CN"/>
        </w:rPr>
        <w:t>的</w:t>
      </w:r>
      <w:r>
        <w:rPr>
          <w:rFonts w:hint="eastAsia" w:ascii="宋体" w:hAnsi="宋体" w:cs="宋体"/>
          <w:b/>
          <w:bCs w:val="0"/>
          <w:color w:val="auto"/>
          <w:sz w:val="24"/>
          <w:szCs w:val="24"/>
          <w:highlight w:val="none"/>
          <w:u w:val="single"/>
          <w:lang w:val="en-US" w:eastAsia="zh-CN"/>
        </w:rPr>
        <w:t>投标</w:t>
      </w:r>
      <w:r>
        <w:rPr>
          <w:rFonts w:hint="eastAsia" w:ascii="宋体" w:hAnsi="宋体" w:eastAsia="宋体" w:cs="宋体"/>
          <w:b/>
          <w:bCs w:val="0"/>
          <w:color w:val="auto"/>
          <w:sz w:val="24"/>
          <w:szCs w:val="24"/>
          <w:highlight w:val="none"/>
          <w:u w:val="single"/>
          <w:lang w:val="en-US" w:eastAsia="zh-CN"/>
        </w:rPr>
        <w:t>内容为准</w:t>
      </w:r>
      <w:r>
        <w:rPr>
          <w:rFonts w:hint="eastAsia" w:ascii="宋体" w:hAnsi="宋体" w:eastAsia="宋体" w:cs="宋体"/>
          <w:b/>
          <w:bCs w:val="0"/>
          <w:color w:val="auto"/>
          <w:sz w:val="24"/>
          <w:szCs w:val="24"/>
          <w:highlight w:val="none"/>
          <w:u w:val="none"/>
        </w:rPr>
        <w:t>。</w:t>
      </w:r>
    </w:p>
    <w:p>
      <w:pPr>
        <w:spacing w:line="360" w:lineRule="auto"/>
        <w:rPr>
          <w:rFonts w:hint="eastAsia" w:ascii="宋体" w:hAnsi="宋体" w:eastAsia="宋体" w:cs="宋体"/>
          <w:b/>
          <w:bCs/>
          <w:color w:val="auto"/>
          <w:sz w:val="24"/>
          <w:szCs w:val="24"/>
          <w:u w:val="none"/>
        </w:rPr>
      </w:pPr>
      <w:r>
        <w:rPr>
          <w:rFonts w:hint="eastAsia" w:ascii="宋体" w:hAnsi="宋体" w:eastAsia="宋体" w:cs="宋体"/>
          <w:b/>
          <w:bCs/>
          <w:color w:val="auto"/>
          <w:sz w:val="24"/>
          <w:szCs w:val="24"/>
          <w:u w:val="none"/>
          <w:lang w:val="en-US" w:eastAsia="zh-CN"/>
        </w:rPr>
        <w:t>八</w:t>
      </w:r>
      <w:r>
        <w:rPr>
          <w:rFonts w:hint="eastAsia" w:ascii="宋体" w:hAnsi="宋体" w:eastAsia="宋体" w:cs="宋体"/>
          <w:b/>
          <w:bCs/>
          <w:color w:val="auto"/>
          <w:sz w:val="24"/>
          <w:szCs w:val="24"/>
          <w:u w:val="none"/>
        </w:rPr>
        <w:t>、违约责任：</w:t>
      </w:r>
    </w:p>
    <w:p>
      <w:pPr>
        <w:spacing w:line="360" w:lineRule="auto"/>
        <w:ind w:firstLine="56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（一）合同中未约定的，按《民法典》中的相关条款执行。</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乙方应向甲方支付合同总价款</w:t>
      </w:r>
      <w:r>
        <w:rPr>
          <w:rFonts w:hint="eastAsia" w:ascii="宋体" w:hAnsi="宋体" w:eastAsia="宋体" w:cs="宋体"/>
          <w:color w:val="auto"/>
          <w:sz w:val="24"/>
          <w:szCs w:val="24"/>
          <w:highlight w:val="none"/>
          <w:u w:val="single"/>
        </w:rPr>
        <w:t>30</w:t>
      </w:r>
      <w:r>
        <w:rPr>
          <w:rFonts w:hint="eastAsia" w:ascii="宋体" w:hAnsi="宋体" w:eastAsia="宋体" w:cs="宋体"/>
          <w:color w:val="auto"/>
          <w:sz w:val="24"/>
          <w:szCs w:val="24"/>
          <w:highlight w:val="none"/>
        </w:rPr>
        <w:t>％的违约金。同时，政府采购监管部门有权依据《政府采购法》及相关法律法规对乙方的违法行为进行相应的处罚。</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（三）在本合同履行过程中，双方因违约或造成对方经济、社会效益等损失的应当赔偿。</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（四）甲方无正当理由拒绝接受服务的，需向乙方偿付本合同总价款</w:t>
      </w:r>
      <w:r>
        <w:rPr>
          <w:rFonts w:hint="eastAsia" w:ascii="宋体" w:hAnsi="宋体" w:eastAsia="宋体" w:cs="宋体"/>
          <w:color w:val="auto"/>
          <w:sz w:val="24"/>
          <w:szCs w:val="24"/>
          <w:highlight w:val="none"/>
          <w:u w:val="single"/>
        </w:rPr>
        <w:t>30</w:t>
      </w:r>
      <w:r>
        <w:rPr>
          <w:rFonts w:hint="eastAsia" w:ascii="宋体" w:hAnsi="宋体" w:eastAsia="宋体" w:cs="宋体"/>
          <w:color w:val="auto"/>
          <w:sz w:val="24"/>
          <w:szCs w:val="24"/>
          <w:highlight w:val="none"/>
        </w:rPr>
        <w:t>％的违约金。甲方由于自身原因逾期付款的，则每日按逾期金额的</w:t>
      </w:r>
      <w:r>
        <w:rPr>
          <w:rFonts w:hint="eastAsia" w:ascii="宋体" w:hAnsi="宋体" w:eastAsia="宋体" w:cs="宋体"/>
          <w:color w:val="auto"/>
          <w:sz w:val="24"/>
          <w:szCs w:val="24"/>
          <w:highlight w:val="none"/>
          <w:u w:val="single"/>
        </w:rPr>
        <w:t>10</w:t>
      </w:r>
      <w:r>
        <w:rPr>
          <w:rFonts w:hint="eastAsia" w:ascii="宋体" w:hAnsi="宋体" w:eastAsia="宋体" w:cs="宋体"/>
          <w:color w:val="auto"/>
          <w:sz w:val="24"/>
          <w:szCs w:val="24"/>
          <w:highlight w:val="none"/>
        </w:rPr>
        <w:t>％向乙方偿付违约金。</w:t>
      </w:r>
    </w:p>
    <w:p>
      <w:pPr>
        <w:spacing w:line="360" w:lineRule="auto"/>
        <w:ind w:firstLine="5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（五）乙方提供的服务不符合本项目相关文件和本合同规定的，甲方有权拒绝，并且乙方须向甲方支付本合同总价款</w:t>
      </w:r>
      <w:r>
        <w:rPr>
          <w:rFonts w:hint="eastAsia" w:ascii="宋体" w:hAnsi="宋体" w:eastAsia="宋体" w:cs="宋体"/>
          <w:color w:val="auto"/>
          <w:sz w:val="24"/>
          <w:szCs w:val="24"/>
          <w:highlight w:val="none"/>
          <w:u w:val="single"/>
        </w:rPr>
        <w:t>30</w:t>
      </w:r>
      <w:r>
        <w:rPr>
          <w:rFonts w:hint="eastAsia" w:ascii="宋体" w:hAnsi="宋体" w:eastAsia="宋体" w:cs="宋体"/>
          <w:color w:val="auto"/>
          <w:sz w:val="24"/>
          <w:szCs w:val="24"/>
          <w:highlight w:val="none"/>
        </w:rPr>
        <w:t>％的违约金。</w:t>
      </w:r>
    </w:p>
    <w:p>
      <w:pPr>
        <w:spacing w:line="360" w:lineRule="auto"/>
        <w:ind w:firstLine="5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（六）乙方未能按照本合同约定时间提供服务或完成约定的项目服务内容的，从逾期之日起每日按本合同总价款</w:t>
      </w:r>
      <w:r>
        <w:rPr>
          <w:rFonts w:hint="eastAsia" w:ascii="宋体" w:hAnsi="宋体" w:eastAsia="宋体" w:cs="宋体"/>
          <w:color w:val="auto"/>
          <w:sz w:val="24"/>
          <w:szCs w:val="24"/>
          <w:highlight w:val="none"/>
          <w:u w:val="single"/>
        </w:rPr>
        <w:t>30</w:t>
      </w:r>
      <w:r>
        <w:rPr>
          <w:rFonts w:hint="eastAsia" w:ascii="宋体" w:hAnsi="宋体" w:eastAsia="宋体" w:cs="宋体"/>
          <w:color w:val="auto"/>
          <w:sz w:val="24"/>
          <w:szCs w:val="24"/>
          <w:highlight w:val="none"/>
        </w:rPr>
        <w:t>％的数额向甲方支付违约金；逾期</w:t>
      </w:r>
      <w:r>
        <w:rPr>
          <w:rFonts w:hint="eastAsia" w:ascii="宋体" w:hAnsi="宋体" w:eastAsia="宋体" w:cs="宋体"/>
          <w:color w:val="auto"/>
          <w:sz w:val="24"/>
          <w:szCs w:val="24"/>
          <w:highlight w:val="none"/>
          <w:u w:val="single"/>
        </w:rPr>
        <w:t>7</w:t>
      </w:r>
      <w:r>
        <w:rPr>
          <w:rFonts w:hint="eastAsia" w:ascii="宋体" w:hAnsi="宋体" w:eastAsia="宋体" w:cs="宋体"/>
          <w:color w:val="auto"/>
          <w:sz w:val="24"/>
          <w:szCs w:val="24"/>
          <w:highlight w:val="none"/>
        </w:rPr>
        <w:t>日以上的，甲方有权终止合同，由此造成的甲方经济损失由乙方承担。</w:t>
      </w:r>
    </w:p>
    <w:p>
      <w:pPr>
        <w:spacing w:line="360" w:lineRule="auto"/>
        <w:ind w:firstLine="5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（七）未经甲方同意，乙方不得擅自将本合同服务分包或转包第三方承担。</w:t>
      </w:r>
    </w:p>
    <w:p>
      <w:pPr>
        <w:spacing w:line="360" w:lineRule="auto"/>
        <w:ind w:firstLine="5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（八）本合同中各条款约定的违约金可自甲方未支付款项中直接扣除，违约金若不能弥补甲方损失的，乙方还应赔偿甲方损失。</w:t>
      </w:r>
    </w:p>
    <w:p>
      <w:pPr>
        <w:spacing w:line="360" w:lineRule="auto"/>
        <w:ind w:firstLine="58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（九）双方拟定的其他条款。</w:t>
      </w:r>
    </w:p>
    <w:p>
      <w:pPr>
        <w:spacing w:line="360" w:lineRule="auto"/>
        <w:rPr>
          <w:rFonts w:hint="eastAsia" w:ascii="宋体" w:hAnsi="宋体" w:eastAsia="宋体" w:cs="宋体"/>
          <w:b/>
          <w:bCs/>
          <w:color w:val="auto"/>
          <w:sz w:val="24"/>
          <w:szCs w:val="24"/>
          <w:u w:val="none"/>
        </w:rPr>
      </w:pPr>
      <w:r>
        <w:rPr>
          <w:rFonts w:hint="eastAsia" w:ascii="宋体" w:hAnsi="宋体" w:eastAsia="宋体" w:cs="宋体"/>
          <w:b/>
          <w:bCs/>
          <w:color w:val="auto"/>
          <w:sz w:val="24"/>
          <w:szCs w:val="24"/>
          <w:u w:val="none"/>
          <w:lang w:val="en-US" w:eastAsia="zh-CN"/>
        </w:rPr>
        <w:t>九</w:t>
      </w:r>
      <w:r>
        <w:rPr>
          <w:rFonts w:hint="eastAsia" w:ascii="宋体" w:hAnsi="宋体" w:eastAsia="宋体" w:cs="宋体"/>
          <w:b/>
          <w:bCs/>
          <w:color w:val="auto"/>
          <w:sz w:val="24"/>
          <w:szCs w:val="24"/>
          <w:u w:val="none"/>
        </w:rPr>
        <w:t>、不可抗力：</w:t>
      </w: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（1）如果乙方因不可抗力而导致不能履行合同义务，乙方不应承担违约或终止合同的责任。</w:t>
      </w: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（2）本条所述的“不可抗力”系指重大自然灾害或者国家政策发生重大变化</w:t>
      </w:r>
      <w:r>
        <w:rPr>
          <w:rFonts w:hint="eastAsia" w:ascii="宋体" w:hAnsi="宋体" w:eastAsia="宋体" w:cs="宋体"/>
          <w:color w:val="auto"/>
          <w:sz w:val="24"/>
          <w:szCs w:val="24"/>
          <w:u w:val="none"/>
          <w:lang w:val="en-US" w:eastAsia="zh-CN"/>
        </w:rPr>
        <w:t>等无法预见、无法避免、无法预防的事件</w:t>
      </w:r>
      <w:r>
        <w:rPr>
          <w:rFonts w:hint="eastAsia" w:ascii="宋体" w:hAnsi="宋体" w:eastAsia="宋体" w:cs="宋体"/>
          <w:color w:val="auto"/>
          <w:sz w:val="24"/>
          <w:szCs w:val="24"/>
          <w:u w:val="none"/>
        </w:rPr>
        <w:t>。</w:t>
      </w: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3）不可抗力事件发生时，乙方应尽快将不可抗力的情况和原因通知甲方，除甲方书面另行要求外，乙方应尽实际可能继续履行合同义务，并积极寻求并采取合理的方案履行不受不可抗力影响的其他事项。双方应通过友好协商在合理的时间内达成进一步履行合同的协议。</w:t>
      </w:r>
    </w:p>
    <w:p>
      <w:pPr>
        <w:spacing w:line="360" w:lineRule="auto"/>
        <w:rPr>
          <w:rFonts w:hint="eastAsia" w:ascii="宋体" w:hAnsi="宋体" w:eastAsia="宋体" w:cs="宋体"/>
          <w:b/>
          <w:bCs/>
          <w:color w:val="auto"/>
          <w:sz w:val="24"/>
          <w:szCs w:val="24"/>
          <w:u w:val="none"/>
        </w:rPr>
      </w:pPr>
      <w:r>
        <w:rPr>
          <w:rFonts w:hint="eastAsia" w:ascii="宋体" w:hAnsi="宋体" w:eastAsia="宋体" w:cs="宋体"/>
          <w:b/>
          <w:bCs/>
          <w:color w:val="auto"/>
          <w:sz w:val="24"/>
          <w:szCs w:val="24"/>
          <w:u w:val="none"/>
          <w:lang w:val="en-US" w:eastAsia="zh-CN"/>
        </w:rPr>
        <w:t>十</w:t>
      </w:r>
      <w:r>
        <w:rPr>
          <w:rFonts w:hint="eastAsia" w:ascii="宋体" w:hAnsi="宋体" w:eastAsia="宋体" w:cs="宋体"/>
          <w:b/>
          <w:bCs/>
          <w:color w:val="auto"/>
          <w:sz w:val="24"/>
          <w:szCs w:val="24"/>
          <w:u w:val="none"/>
        </w:rPr>
        <w:t>、合同的终止：</w:t>
      </w: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lang w:val="en-US" w:eastAsia="zh-CN"/>
        </w:rPr>
        <w:t>1.</w:t>
      </w:r>
      <w:r>
        <w:rPr>
          <w:rFonts w:hint="eastAsia" w:ascii="宋体" w:hAnsi="宋体" w:eastAsia="宋体" w:cs="宋体"/>
          <w:color w:val="auto"/>
          <w:sz w:val="24"/>
          <w:szCs w:val="24"/>
          <w:u w:val="none"/>
        </w:rPr>
        <w:t>甲方可在下列情况下，向乙方发出书面通知书，提出终止合同：</w:t>
      </w:r>
    </w:p>
    <w:p>
      <w:pPr>
        <w:numPr>
          <w:ilvl w:val="0"/>
          <w:numId w:val="2"/>
        </w:numPr>
        <w:spacing w:line="360" w:lineRule="auto"/>
        <w:ind w:firstLine="480" w:firstLineChars="20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一年合同期满，由甲方进行考核，满意率在</w:t>
      </w:r>
      <w:r>
        <w:rPr>
          <w:rFonts w:hint="eastAsia" w:ascii="宋体" w:hAnsi="宋体" w:eastAsia="宋体" w:cs="宋体"/>
          <w:color w:val="auto"/>
          <w:sz w:val="24"/>
          <w:szCs w:val="24"/>
          <w:highlight w:val="none"/>
          <w:u w:val="none"/>
          <w:lang w:val="en-US" w:eastAsia="zh-CN"/>
        </w:rPr>
        <w:t>80</w:t>
      </w:r>
      <w:r>
        <w:rPr>
          <w:rFonts w:hint="eastAsia" w:ascii="宋体" w:hAnsi="宋体" w:eastAsia="宋体" w:cs="宋体"/>
          <w:color w:val="auto"/>
          <w:sz w:val="24"/>
          <w:szCs w:val="24"/>
          <w:highlight w:val="none"/>
          <w:u w:val="none"/>
        </w:rPr>
        <w:t>%以下，表明乙方未能履行合同规定的义务，不能达到甲方要求的服务标准，终止合同。</w:t>
      </w: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（2）甲方认为乙方在本合同的竞争或实施中有腐败和欺诈行为。</w:t>
      </w: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“腐败行为”是指提供、给予、接受或索取任何有价值的物品来影响甲方在</w:t>
      </w:r>
      <w:r>
        <w:rPr>
          <w:rFonts w:hint="eastAsia" w:ascii="宋体" w:hAnsi="宋体" w:cs="宋体"/>
          <w:color w:val="auto"/>
          <w:sz w:val="24"/>
          <w:szCs w:val="24"/>
          <w:u w:val="none"/>
          <w:lang w:val="en-US" w:eastAsia="zh-CN"/>
        </w:rPr>
        <w:t>开标</w:t>
      </w:r>
      <w:r>
        <w:rPr>
          <w:rFonts w:hint="eastAsia" w:ascii="宋体" w:hAnsi="宋体" w:eastAsia="宋体" w:cs="宋体"/>
          <w:color w:val="auto"/>
          <w:sz w:val="24"/>
          <w:szCs w:val="24"/>
          <w:u w:val="none"/>
        </w:rPr>
        <w:t>过程或合同实施过程中的行为；“欺诈行为”是指在</w:t>
      </w:r>
      <w:r>
        <w:rPr>
          <w:rFonts w:hint="eastAsia" w:ascii="宋体" w:hAnsi="宋体" w:cs="宋体"/>
          <w:color w:val="auto"/>
          <w:sz w:val="24"/>
          <w:szCs w:val="24"/>
          <w:u w:val="none"/>
          <w:lang w:val="en-US" w:eastAsia="zh-CN"/>
        </w:rPr>
        <w:t>开标</w:t>
      </w:r>
      <w:r>
        <w:rPr>
          <w:rFonts w:hint="eastAsia" w:ascii="宋体" w:hAnsi="宋体" w:eastAsia="宋体" w:cs="宋体"/>
          <w:color w:val="auto"/>
          <w:sz w:val="24"/>
          <w:szCs w:val="24"/>
          <w:u w:val="none"/>
        </w:rPr>
        <w:t>过程或合同实施过程而谎报事实，损害甲方的利益，包括服务单位之间串通参与本次</w:t>
      </w:r>
      <w:r>
        <w:rPr>
          <w:rFonts w:hint="eastAsia" w:ascii="宋体" w:hAnsi="宋体" w:cs="宋体"/>
          <w:color w:val="auto"/>
          <w:sz w:val="24"/>
          <w:szCs w:val="24"/>
          <w:u w:val="none"/>
          <w:lang w:val="en-US" w:eastAsia="zh-CN"/>
        </w:rPr>
        <w:t>开标</w:t>
      </w:r>
      <w:r>
        <w:rPr>
          <w:rFonts w:hint="eastAsia" w:ascii="宋体" w:hAnsi="宋体" w:eastAsia="宋体" w:cs="宋体"/>
          <w:color w:val="auto"/>
          <w:sz w:val="24"/>
          <w:szCs w:val="24"/>
          <w:u w:val="none"/>
        </w:rPr>
        <w:t>活动的，人为地使</w:t>
      </w:r>
      <w:r>
        <w:rPr>
          <w:rFonts w:hint="eastAsia" w:ascii="宋体" w:hAnsi="宋体" w:cs="宋体"/>
          <w:color w:val="auto"/>
          <w:sz w:val="24"/>
          <w:szCs w:val="24"/>
          <w:u w:val="none"/>
          <w:lang w:val="en-US" w:eastAsia="zh-CN"/>
        </w:rPr>
        <w:t>开标</w:t>
      </w:r>
      <w:r>
        <w:rPr>
          <w:rFonts w:hint="eastAsia" w:ascii="宋体" w:hAnsi="宋体" w:eastAsia="宋体" w:cs="宋体"/>
          <w:color w:val="auto"/>
          <w:sz w:val="24"/>
          <w:szCs w:val="24"/>
          <w:u w:val="none"/>
        </w:rPr>
        <w:t>活动丧失竞争性，损害甲方权益。</w:t>
      </w:r>
    </w:p>
    <w:p>
      <w:pPr>
        <w:numPr>
          <w:ilvl w:val="0"/>
          <w:numId w:val="0"/>
        </w:num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none"/>
          <w:lang w:val="en-US" w:eastAsia="zh-CN"/>
        </w:rPr>
        <w:t>3</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none"/>
        </w:rPr>
        <w:t>乙方根本违约，导致合同无法继续履行。</w:t>
      </w:r>
    </w:p>
    <w:p>
      <w:pPr>
        <w:numPr>
          <w:ilvl w:val="0"/>
          <w:numId w:val="0"/>
        </w:num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因乙方内部协调不畅、管理不到位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不履行义务等导致乙方人员因社保争议、工资收入</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rPr>
        <w:t>甲方校内区域聚集闹事、制造事端，从而影响甲方正常</w:t>
      </w:r>
      <w:r>
        <w:rPr>
          <w:rFonts w:hint="eastAsia" w:ascii="宋体" w:hAnsi="宋体" w:eastAsia="宋体" w:cs="宋体"/>
          <w:color w:val="auto"/>
          <w:sz w:val="24"/>
          <w:szCs w:val="24"/>
          <w:highlight w:val="none"/>
          <w:lang w:val="en-US" w:eastAsia="zh-CN"/>
        </w:rPr>
        <w:t>教学</w:t>
      </w:r>
      <w:r>
        <w:rPr>
          <w:rFonts w:hint="eastAsia" w:ascii="宋体" w:hAnsi="宋体" w:eastAsia="宋体" w:cs="宋体"/>
          <w:color w:val="auto"/>
          <w:sz w:val="24"/>
          <w:szCs w:val="24"/>
          <w:highlight w:val="none"/>
        </w:rPr>
        <w:t>活动开展、对甲方声誉及稳定造成影响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合同终止。</w:t>
      </w: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w:t>
      </w:r>
      <w:r>
        <w:rPr>
          <w:rFonts w:hint="eastAsia" w:ascii="宋体" w:hAnsi="宋体" w:eastAsia="宋体" w:cs="宋体"/>
          <w:color w:val="auto"/>
          <w:sz w:val="24"/>
          <w:szCs w:val="24"/>
          <w:u w:val="none"/>
          <w:lang w:val="en-US" w:eastAsia="zh-CN"/>
        </w:rPr>
        <w:t>5</w:t>
      </w:r>
      <w:r>
        <w:rPr>
          <w:rFonts w:hint="eastAsia" w:ascii="宋体" w:hAnsi="宋体" w:eastAsia="宋体" w:cs="宋体"/>
          <w:color w:val="auto"/>
          <w:sz w:val="24"/>
          <w:szCs w:val="24"/>
          <w:u w:val="none"/>
        </w:rPr>
        <w:t>）双方合同目的无法实现，导致难以继续合作，合同终止。</w:t>
      </w:r>
    </w:p>
    <w:p>
      <w:pPr>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若出现本条款（1）、（2）、（3）（4）情形的，乙方相应违约责任按照本合同第七条内容执行。</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rPr>
        <w:t>物业移交</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shd w:val="clear" w:color="auto" w:fill="FFFFFF"/>
        </w:rPr>
        <w:t>甲方</w:t>
      </w:r>
      <w:r>
        <w:rPr>
          <w:rFonts w:hint="eastAsia" w:ascii="宋体" w:hAnsi="宋体" w:eastAsia="宋体" w:cs="宋体"/>
          <w:color w:val="auto"/>
          <w:kern w:val="0"/>
          <w:sz w:val="24"/>
          <w:szCs w:val="24"/>
          <w:shd w:val="clear" w:color="auto" w:fill="FFFFFF"/>
          <w:lang w:eastAsia="zh-CN"/>
        </w:rPr>
        <w:t>应当</w:t>
      </w:r>
      <w:r>
        <w:rPr>
          <w:rFonts w:hint="eastAsia" w:ascii="宋体" w:hAnsi="宋体" w:eastAsia="宋体" w:cs="宋体"/>
          <w:color w:val="auto"/>
          <w:kern w:val="0"/>
          <w:sz w:val="24"/>
          <w:szCs w:val="24"/>
          <w:shd w:val="clear" w:color="auto" w:fill="FFFFFF"/>
        </w:rPr>
        <w:t>于本合同终止前告知乙方下一服务周期招标结果。如乙方投标失败，乙方应配合新物业服务企业做好交接事宜，办理书面移交手续。乙方应当在物业合同终止之日起十五日内退出物业管理区域，</w:t>
      </w:r>
      <w:r>
        <w:rPr>
          <w:rFonts w:hint="eastAsia" w:ascii="宋体" w:hAnsi="宋体" w:eastAsia="宋体" w:cs="宋体"/>
          <w:color w:val="auto"/>
          <w:kern w:val="0"/>
          <w:sz w:val="24"/>
          <w:szCs w:val="24"/>
        </w:rPr>
        <w:t>不得以</w:t>
      </w:r>
      <w:r>
        <w:rPr>
          <w:rFonts w:hint="eastAsia" w:ascii="宋体" w:hAnsi="宋体" w:eastAsia="宋体" w:cs="宋体"/>
          <w:color w:val="auto"/>
          <w:kern w:val="0"/>
          <w:sz w:val="24"/>
          <w:szCs w:val="24"/>
          <w:lang w:val="en-US" w:eastAsia="zh-CN"/>
        </w:rPr>
        <w:t>任何理由</w:t>
      </w:r>
      <w:r>
        <w:rPr>
          <w:rFonts w:hint="eastAsia" w:ascii="宋体" w:hAnsi="宋体" w:eastAsia="宋体" w:cs="宋体"/>
          <w:color w:val="auto"/>
          <w:kern w:val="0"/>
          <w:sz w:val="24"/>
          <w:szCs w:val="24"/>
        </w:rPr>
        <w:t>拒绝退出。</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乙方按照合同约定时间退出物业管理区域前，应按本合同第六条服务内容及标准之约定，完成各类服务内容，移交时未达到约定服务标准的，应承担相应的违约责任。</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rPr>
        <w:t>乙方退出物业管理区域时，应当在甲方的监督下，撤出管理区域内的物业服务人员，向新物业服务企业移交下列资料和财物</w:t>
      </w:r>
      <w:r>
        <w:rPr>
          <w:rFonts w:hint="eastAsia" w:ascii="宋体" w:hAnsi="宋体" w:eastAsia="宋体" w:cs="宋体"/>
          <w:color w:val="auto"/>
          <w:kern w:val="0"/>
          <w:sz w:val="24"/>
          <w:szCs w:val="24"/>
          <w:shd w:val="clear" w:color="auto" w:fill="FFFFFF"/>
          <w:lang w:eastAsia="zh-CN"/>
        </w:rPr>
        <w:t>，</w:t>
      </w:r>
      <w:r>
        <w:rPr>
          <w:rFonts w:hint="eastAsia" w:ascii="宋体" w:hAnsi="宋体" w:eastAsia="宋体" w:cs="宋体"/>
          <w:color w:val="auto"/>
          <w:kern w:val="0"/>
          <w:sz w:val="24"/>
          <w:szCs w:val="24"/>
          <w:shd w:val="clear" w:color="auto" w:fill="FFFFFF"/>
          <w:lang w:val="en-US" w:eastAsia="zh-CN"/>
        </w:rPr>
        <w:t>并由乙方与新物业服务企业双方签字认可，若有未移交部分，由乙方与新物业服务企业列出未移交部分的清单，确定移交时间并签字认可</w:t>
      </w:r>
      <w:r>
        <w:rPr>
          <w:rFonts w:hint="eastAsia" w:ascii="宋体" w:hAnsi="宋体" w:eastAsia="宋体" w:cs="宋体"/>
          <w:color w:val="auto"/>
          <w:kern w:val="0"/>
          <w:sz w:val="24"/>
          <w:szCs w:val="24"/>
          <w:shd w:val="clear" w:color="auto" w:fill="FFFFFF"/>
        </w:rPr>
        <w:t>：</w:t>
      </w:r>
    </w:p>
    <w:p>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甲方向乙方移交的下列资料：</w:t>
      </w:r>
    </w:p>
    <w:p>
      <w:pPr>
        <w:keepNext w:val="0"/>
        <w:keepLines w:val="0"/>
        <w:pageBreakBefore w:val="0"/>
        <w:widowControl/>
        <w:numPr>
          <w:ilvl w:val="-1"/>
          <w:numId w:val="0"/>
        </w:numPr>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（1）共用设施设备清单；</w:t>
      </w:r>
    </w:p>
    <w:p>
      <w:pPr>
        <w:keepNext w:val="0"/>
        <w:keepLines w:val="0"/>
        <w:pageBreakBefore w:val="0"/>
        <w:widowControl/>
        <w:numPr>
          <w:ilvl w:val="-1"/>
          <w:numId w:val="0"/>
        </w:numPr>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（2）设施设备的安装、使用和维护保养等技术资料；</w:t>
      </w:r>
    </w:p>
    <w:p>
      <w:pPr>
        <w:keepNext w:val="0"/>
        <w:keepLines w:val="0"/>
        <w:pageBreakBefore w:val="0"/>
        <w:widowControl/>
        <w:numPr>
          <w:ilvl w:val="-1"/>
          <w:numId w:val="0"/>
        </w:numPr>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（3）物业质量保修文件和物业使用说明文件；</w:t>
      </w:r>
    </w:p>
    <w:p>
      <w:pPr>
        <w:keepNext w:val="0"/>
        <w:keepLines w:val="0"/>
        <w:pageBreakBefore w:val="0"/>
        <w:widowControl/>
        <w:numPr>
          <w:ilvl w:val="-1"/>
          <w:numId w:val="0"/>
        </w:numPr>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（4）业主名册；</w:t>
      </w:r>
    </w:p>
    <w:p>
      <w:pPr>
        <w:keepNext w:val="0"/>
        <w:keepLines w:val="0"/>
        <w:pageBreakBefore w:val="0"/>
        <w:widowControl/>
        <w:numPr>
          <w:ilvl w:val="-1"/>
          <w:numId w:val="0"/>
        </w:numPr>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（5）甲方向乙方移交的其他资料；</w:t>
      </w:r>
    </w:p>
    <w:p>
      <w:pPr>
        <w:keepNext w:val="0"/>
        <w:keepLines w:val="0"/>
        <w:pageBreakBefore w:val="0"/>
        <w:widowControl/>
        <w:numPr>
          <w:ilvl w:val="-1"/>
          <w:numId w:val="0"/>
        </w:numPr>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（6）物业管理必需的其他资料；</w:t>
      </w:r>
    </w:p>
    <w:p>
      <w:pPr>
        <w:keepNext w:val="0"/>
        <w:keepLines w:val="0"/>
        <w:pageBreakBefore w:val="0"/>
        <w:widowControl/>
        <w:numPr>
          <w:ilvl w:val="-1"/>
          <w:numId w:val="0"/>
        </w:numPr>
        <w:shd w:val="clear" w:color="auto" w:fill="FFFFFF"/>
        <w:kinsoku/>
        <w:wordWrap/>
        <w:overflowPunct/>
        <w:topLinePunct w:val="0"/>
        <w:autoSpaceDE/>
        <w:autoSpaceDN/>
        <w:bidi w:val="0"/>
        <w:adjustRightInd/>
        <w:snapToGrid/>
        <w:spacing w:line="360" w:lineRule="auto"/>
        <w:ind w:firstLine="547" w:firstLineChars="228"/>
        <w:jc w:val="left"/>
        <w:textAlignment w:val="auto"/>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（二）</w:t>
      </w:r>
      <w:r>
        <w:rPr>
          <w:rFonts w:hint="eastAsia" w:ascii="宋体" w:hAnsi="宋体" w:eastAsia="宋体" w:cs="宋体"/>
          <w:i w:val="0"/>
          <w:iCs w:val="0"/>
          <w:caps w:val="0"/>
          <w:color w:val="auto"/>
          <w:spacing w:val="0"/>
          <w:kern w:val="0"/>
          <w:sz w:val="24"/>
          <w:szCs w:val="24"/>
          <w:shd w:val="clear" w:color="auto" w:fill="FFFFFF"/>
          <w:lang w:eastAsia="zh-CN"/>
        </w:rPr>
        <w:t>乙方</w:t>
      </w:r>
      <w:r>
        <w:rPr>
          <w:rFonts w:hint="eastAsia" w:ascii="宋体" w:hAnsi="宋体" w:eastAsia="宋体" w:cs="宋体"/>
          <w:i w:val="0"/>
          <w:iCs w:val="0"/>
          <w:caps w:val="0"/>
          <w:color w:val="auto"/>
          <w:spacing w:val="0"/>
          <w:kern w:val="0"/>
          <w:sz w:val="24"/>
          <w:szCs w:val="24"/>
          <w:shd w:val="clear" w:color="auto" w:fill="FFFFFF"/>
        </w:rPr>
        <w:t>承接验收时应移交下列资料</w:t>
      </w:r>
      <w:r>
        <w:rPr>
          <w:rFonts w:hint="eastAsia" w:ascii="宋体" w:hAnsi="宋体" w:eastAsia="宋体" w:cs="宋体"/>
          <w:i w:val="0"/>
          <w:iCs w:val="0"/>
          <w:caps w:val="0"/>
          <w:color w:val="auto"/>
          <w:spacing w:val="0"/>
          <w:kern w:val="0"/>
          <w:sz w:val="24"/>
          <w:szCs w:val="24"/>
          <w:shd w:val="clear" w:color="auto" w:fill="FFFFFF"/>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jc w:val="left"/>
        <w:textAlignment w:val="auto"/>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lang w:eastAsia="zh-CN"/>
        </w:rPr>
        <w:t>（</w:t>
      </w:r>
      <w:r>
        <w:rPr>
          <w:rFonts w:hint="eastAsia" w:ascii="宋体" w:hAnsi="宋体" w:eastAsia="宋体" w:cs="宋体"/>
          <w:color w:val="auto"/>
          <w:kern w:val="0"/>
          <w:sz w:val="24"/>
          <w:szCs w:val="24"/>
          <w:shd w:val="clear" w:color="auto" w:fill="FFFFFF"/>
          <w:lang w:val="en-US" w:eastAsia="zh-CN"/>
        </w:rPr>
        <w:t>1</w:t>
      </w:r>
      <w:r>
        <w:rPr>
          <w:rFonts w:hint="eastAsia" w:ascii="宋体" w:hAnsi="宋体" w:eastAsia="宋体" w:cs="宋体"/>
          <w:color w:val="auto"/>
          <w:kern w:val="0"/>
          <w:sz w:val="24"/>
          <w:szCs w:val="24"/>
          <w:shd w:val="clear" w:color="auto" w:fill="FFFFFF"/>
          <w:lang w:eastAsia="zh-CN"/>
        </w:rPr>
        <w:t>）</w:t>
      </w:r>
      <w:r>
        <w:rPr>
          <w:rFonts w:hint="eastAsia" w:ascii="宋体" w:hAnsi="宋体" w:eastAsia="宋体" w:cs="宋体"/>
          <w:color w:val="auto"/>
          <w:kern w:val="0"/>
          <w:sz w:val="24"/>
          <w:szCs w:val="24"/>
          <w:shd w:val="clear" w:color="auto" w:fill="FFFFFF"/>
        </w:rPr>
        <w:t>业主共有的结余资金，</w:t>
      </w:r>
      <w:r>
        <w:rPr>
          <w:rFonts w:hint="eastAsia" w:ascii="宋体" w:hAnsi="宋体" w:eastAsia="宋体" w:cs="宋体"/>
          <w:color w:val="auto"/>
          <w:kern w:val="0"/>
          <w:sz w:val="24"/>
          <w:szCs w:val="24"/>
        </w:rPr>
        <w:t>代收的有关费用</w:t>
      </w:r>
      <w:r>
        <w:rPr>
          <w:rFonts w:hint="eastAsia" w:ascii="宋体" w:hAnsi="宋体" w:eastAsia="宋体" w:cs="宋体"/>
          <w:color w:val="auto"/>
          <w:kern w:val="0"/>
          <w:sz w:val="24"/>
          <w:szCs w:val="24"/>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jc w:val="left"/>
        <w:textAlignment w:val="auto"/>
        <w:rPr>
          <w:rFonts w:hint="eastAsia" w:ascii="宋体" w:hAnsi="宋体" w:eastAsia="宋体" w:cs="宋体"/>
          <w:i w:val="0"/>
          <w:iCs w:val="0"/>
          <w:caps w:val="0"/>
          <w:color w:val="auto"/>
          <w:spacing w:val="0"/>
          <w:kern w:val="0"/>
          <w:sz w:val="24"/>
          <w:szCs w:val="24"/>
          <w:shd w:val="clear" w:color="auto" w:fill="FFFFFF"/>
        </w:rPr>
      </w:pPr>
      <w:r>
        <w:rPr>
          <w:rFonts w:hint="eastAsia" w:ascii="宋体" w:hAnsi="宋体" w:eastAsia="宋体" w:cs="宋体"/>
          <w:i w:val="0"/>
          <w:iCs w:val="0"/>
          <w:caps w:val="0"/>
          <w:color w:val="auto"/>
          <w:spacing w:val="0"/>
          <w:kern w:val="0"/>
          <w:sz w:val="24"/>
          <w:szCs w:val="24"/>
          <w:shd w:val="clear" w:color="auto" w:fill="FFFFFF"/>
          <w:lang w:eastAsia="zh-CN"/>
        </w:rPr>
        <w:t>（</w:t>
      </w:r>
      <w:r>
        <w:rPr>
          <w:rFonts w:hint="eastAsia" w:ascii="宋体" w:hAnsi="宋体" w:eastAsia="宋体" w:cs="宋体"/>
          <w:i w:val="0"/>
          <w:iCs w:val="0"/>
          <w:caps w:val="0"/>
          <w:color w:val="auto"/>
          <w:spacing w:val="0"/>
          <w:kern w:val="0"/>
          <w:sz w:val="24"/>
          <w:szCs w:val="24"/>
          <w:shd w:val="clear" w:color="auto" w:fill="FFFFFF"/>
          <w:lang w:val="en-US" w:eastAsia="zh-CN"/>
        </w:rPr>
        <w:t>2</w:t>
      </w:r>
      <w:r>
        <w:rPr>
          <w:rFonts w:hint="eastAsia" w:ascii="宋体" w:hAnsi="宋体" w:eastAsia="宋体" w:cs="宋体"/>
          <w:i w:val="0"/>
          <w:iCs w:val="0"/>
          <w:caps w:val="0"/>
          <w:color w:val="auto"/>
          <w:spacing w:val="0"/>
          <w:kern w:val="0"/>
          <w:sz w:val="24"/>
          <w:szCs w:val="24"/>
          <w:shd w:val="clear" w:color="auto" w:fill="FFFFFF"/>
          <w:lang w:eastAsia="zh-CN"/>
        </w:rPr>
        <w:t>）</w:t>
      </w:r>
      <w:r>
        <w:rPr>
          <w:rFonts w:hint="eastAsia" w:ascii="宋体" w:hAnsi="宋体" w:eastAsia="宋体" w:cs="宋体"/>
          <w:i w:val="0"/>
          <w:iCs w:val="0"/>
          <w:caps w:val="0"/>
          <w:color w:val="auto"/>
          <w:spacing w:val="0"/>
          <w:kern w:val="0"/>
          <w:sz w:val="24"/>
          <w:szCs w:val="24"/>
          <w:shd w:val="clear" w:color="auto" w:fill="FFFFFF"/>
        </w:rPr>
        <w:t>物业服务收费资料，公共能耗分摊办法及收支情况资料，利用物业共用部位、共用设施设备等所得收益的明细帐目和收支情况；</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jc w:val="left"/>
        <w:textAlignment w:val="auto"/>
        <w:rPr>
          <w:rFonts w:hint="eastAsia" w:ascii="宋体" w:hAnsi="宋体" w:eastAsia="宋体" w:cs="宋体"/>
          <w:i w:val="0"/>
          <w:iCs w:val="0"/>
          <w:caps w:val="0"/>
          <w:color w:val="auto"/>
          <w:spacing w:val="0"/>
          <w:kern w:val="0"/>
          <w:sz w:val="24"/>
          <w:szCs w:val="24"/>
          <w:shd w:val="clear" w:color="auto" w:fill="FFFFFF"/>
          <w:lang w:val="en-US" w:eastAsia="zh-CN"/>
        </w:rPr>
      </w:pPr>
      <w:r>
        <w:rPr>
          <w:rFonts w:hint="eastAsia" w:ascii="宋体" w:hAnsi="宋体" w:eastAsia="宋体" w:cs="宋体"/>
          <w:i w:val="0"/>
          <w:iCs w:val="0"/>
          <w:caps w:val="0"/>
          <w:color w:val="auto"/>
          <w:spacing w:val="0"/>
          <w:kern w:val="0"/>
          <w:sz w:val="24"/>
          <w:szCs w:val="24"/>
          <w:shd w:val="clear" w:color="auto" w:fill="FFFFFF"/>
          <w:lang w:eastAsia="zh-CN"/>
        </w:rPr>
        <w:t>（</w:t>
      </w:r>
      <w:r>
        <w:rPr>
          <w:rFonts w:hint="eastAsia" w:ascii="宋体" w:hAnsi="宋体" w:eastAsia="宋体" w:cs="宋体"/>
          <w:i w:val="0"/>
          <w:iCs w:val="0"/>
          <w:caps w:val="0"/>
          <w:color w:val="auto"/>
          <w:spacing w:val="0"/>
          <w:kern w:val="0"/>
          <w:sz w:val="24"/>
          <w:szCs w:val="24"/>
          <w:shd w:val="clear" w:color="auto" w:fill="FFFFFF"/>
          <w:lang w:val="en-US" w:eastAsia="zh-CN"/>
        </w:rPr>
        <w:t>3</w:t>
      </w:r>
      <w:r>
        <w:rPr>
          <w:rFonts w:hint="eastAsia" w:ascii="宋体" w:hAnsi="宋体" w:eastAsia="宋体" w:cs="宋体"/>
          <w:i w:val="0"/>
          <w:iCs w:val="0"/>
          <w:caps w:val="0"/>
          <w:color w:val="auto"/>
          <w:spacing w:val="0"/>
          <w:kern w:val="0"/>
          <w:sz w:val="24"/>
          <w:szCs w:val="24"/>
          <w:shd w:val="clear" w:color="auto" w:fill="FFFFFF"/>
          <w:lang w:eastAsia="zh-CN"/>
        </w:rPr>
        <w:t>）</w:t>
      </w:r>
      <w:r>
        <w:rPr>
          <w:rFonts w:hint="eastAsia" w:ascii="宋体" w:hAnsi="宋体" w:eastAsia="宋体" w:cs="宋体"/>
          <w:i w:val="0"/>
          <w:iCs w:val="0"/>
          <w:caps w:val="0"/>
          <w:color w:val="auto"/>
          <w:spacing w:val="0"/>
          <w:kern w:val="0"/>
          <w:sz w:val="24"/>
          <w:szCs w:val="24"/>
          <w:shd w:val="clear" w:color="auto" w:fill="FFFFFF"/>
        </w:rPr>
        <w:t>业主缴纳水电费和公用水电费的记载资料；</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lang w:eastAsia="zh-CN"/>
        </w:rPr>
        <w:t>（</w:t>
      </w:r>
      <w:r>
        <w:rPr>
          <w:rFonts w:hint="eastAsia" w:ascii="宋体" w:hAnsi="宋体" w:eastAsia="宋体" w:cs="宋体"/>
          <w:color w:val="auto"/>
          <w:kern w:val="0"/>
          <w:sz w:val="24"/>
          <w:szCs w:val="24"/>
          <w:shd w:val="clear" w:color="auto" w:fill="FFFFFF"/>
          <w:lang w:val="en-US" w:eastAsia="zh-CN"/>
        </w:rPr>
        <w:t>4</w:t>
      </w:r>
      <w:r>
        <w:rPr>
          <w:rFonts w:hint="eastAsia" w:ascii="宋体" w:hAnsi="宋体" w:eastAsia="宋体" w:cs="宋体"/>
          <w:color w:val="auto"/>
          <w:kern w:val="0"/>
          <w:sz w:val="24"/>
          <w:szCs w:val="24"/>
          <w:shd w:val="clear" w:color="auto" w:fill="FFFFFF"/>
          <w:lang w:eastAsia="zh-CN"/>
        </w:rPr>
        <w:t>）</w:t>
      </w:r>
      <w:r>
        <w:rPr>
          <w:rFonts w:hint="eastAsia" w:ascii="宋体" w:hAnsi="宋体" w:eastAsia="宋体" w:cs="宋体"/>
          <w:color w:val="auto"/>
          <w:kern w:val="0"/>
          <w:sz w:val="24"/>
          <w:szCs w:val="24"/>
          <w:shd w:val="clear" w:color="auto" w:fill="FFFFFF"/>
        </w:rPr>
        <w:t>对外签</w:t>
      </w:r>
      <w:r>
        <w:rPr>
          <w:rFonts w:hint="eastAsia" w:ascii="宋体" w:hAnsi="宋体" w:eastAsia="宋体" w:cs="宋体"/>
          <w:color w:val="auto"/>
          <w:kern w:val="0"/>
          <w:sz w:val="24"/>
          <w:szCs w:val="24"/>
          <w:shd w:val="clear" w:color="auto" w:fill="FFFFFF"/>
          <w:lang w:val="en-US" w:eastAsia="zh-CN"/>
        </w:rPr>
        <w:t>订</w:t>
      </w:r>
      <w:r>
        <w:rPr>
          <w:rFonts w:hint="eastAsia" w:ascii="宋体" w:hAnsi="宋体" w:eastAsia="宋体" w:cs="宋体"/>
          <w:color w:val="auto"/>
          <w:kern w:val="0"/>
          <w:sz w:val="24"/>
          <w:szCs w:val="24"/>
          <w:shd w:val="clear" w:color="auto" w:fill="FFFFFF"/>
        </w:rPr>
        <w:t>的各</w:t>
      </w:r>
      <w:r>
        <w:rPr>
          <w:rFonts w:hint="eastAsia" w:ascii="宋体" w:hAnsi="宋体" w:eastAsia="宋体" w:cs="宋体"/>
          <w:color w:val="auto"/>
          <w:kern w:val="0"/>
          <w:sz w:val="24"/>
          <w:szCs w:val="24"/>
          <w:shd w:val="clear" w:color="auto" w:fill="FFFFFF"/>
          <w:lang w:val="en-US" w:eastAsia="zh-CN"/>
        </w:rPr>
        <w:t>类</w:t>
      </w:r>
      <w:r>
        <w:rPr>
          <w:rFonts w:hint="eastAsia" w:ascii="宋体" w:hAnsi="宋体" w:eastAsia="宋体" w:cs="宋体"/>
          <w:i w:val="0"/>
          <w:iCs w:val="0"/>
          <w:caps w:val="0"/>
          <w:color w:val="auto"/>
          <w:spacing w:val="0"/>
          <w:kern w:val="0"/>
          <w:sz w:val="24"/>
          <w:szCs w:val="24"/>
          <w:shd w:val="clear" w:color="auto" w:fill="FFFFFF"/>
        </w:rPr>
        <w:t>与物业管理和物业经营相关的合同及资料</w:t>
      </w:r>
      <w:r>
        <w:rPr>
          <w:rFonts w:hint="eastAsia" w:ascii="宋体" w:hAnsi="宋体" w:eastAsia="宋体" w:cs="宋体"/>
          <w:i w:val="0"/>
          <w:iCs w:val="0"/>
          <w:caps w:val="0"/>
          <w:color w:val="auto"/>
          <w:spacing w:val="0"/>
          <w:kern w:val="0"/>
          <w:sz w:val="24"/>
          <w:szCs w:val="24"/>
          <w:shd w:val="clear" w:color="auto" w:fill="FFFFFF"/>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lang w:eastAsia="zh-CN"/>
        </w:rPr>
        <w:t>（</w:t>
      </w:r>
      <w:r>
        <w:rPr>
          <w:rFonts w:hint="eastAsia" w:ascii="宋体" w:hAnsi="宋体" w:eastAsia="宋体" w:cs="宋体"/>
          <w:color w:val="auto"/>
          <w:kern w:val="0"/>
          <w:sz w:val="24"/>
          <w:szCs w:val="24"/>
          <w:shd w:val="clear" w:color="auto" w:fill="FFFFFF"/>
          <w:lang w:val="en-US" w:eastAsia="zh-CN"/>
        </w:rPr>
        <w:t>5</w:t>
      </w:r>
      <w:r>
        <w:rPr>
          <w:rFonts w:hint="eastAsia" w:ascii="宋体" w:hAnsi="宋体" w:eastAsia="宋体" w:cs="宋体"/>
          <w:color w:val="auto"/>
          <w:kern w:val="0"/>
          <w:sz w:val="24"/>
          <w:szCs w:val="24"/>
          <w:shd w:val="clear" w:color="auto" w:fill="FFFFFF"/>
          <w:lang w:eastAsia="zh-CN"/>
        </w:rPr>
        <w:t>）</w:t>
      </w:r>
      <w:r>
        <w:rPr>
          <w:rFonts w:hint="eastAsia" w:ascii="宋体" w:hAnsi="宋体" w:eastAsia="宋体" w:cs="宋体"/>
          <w:color w:val="auto"/>
          <w:kern w:val="0"/>
          <w:sz w:val="24"/>
          <w:szCs w:val="24"/>
          <w:shd w:val="clear" w:color="auto" w:fill="FFFFFF"/>
        </w:rPr>
        <w:t>物业服务用房；</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（6）维修、保养物业形成的技术资料</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lang w:val="en-US" w:eastAsia="zh-CN"/>
        </w:rPr>
        <w:t>（7）</w:t>
      </w:r>
      <w:r>
        <w:rPr>
          <w:rFonts w:hint="eastAsia" w:ascii="宋体" w:hAnsi="宋体" w:eastAsia="宋体" w:cs="宋体"/>
          <w:color w:val="auto"/>
          <w:kern w:val="0"/>
          <w:sz w:val="24"/>
          <w:szCs w:val="24"/>
          <w:shd w:val="clear" w:color="auto" w:fill="FFFFFF"/>
        </w:rPr>
        <w:t>物业管理期间配置的属甲方的固定设施设备；</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lang w:val="en-US" w:eastAsia="zh-CN"/>
        </w:rPr>
        <w:t>（8）</w:t>
      </w:r>
      <w:r>
        <w:rPr>
          <w:rFonts w:hint="eastAsia" w:ascii="宋体" w:hAnsi="宋体" w:eastAsia="宋体" w:cs="宋体"/>
          <w:color w:val="auto"/>
          <w:kern w:val="0"/>
          <w:sz w:val="24"/>
          <w:szCs w:val="24"/>
          <w:shd w:val="clear" w:color="auto" w:fill="FFFFFF"/>
        </w:rPr>
        <w:t>其他应当移交的资料和财物。</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rPr>
        <w:t>乙方不得损坏、隐匿、销毁物业资料和财物</w:t>
      </w:r>
      <w:r>
        <w:rPr>
          <w:rFonts w:hint="eastAsia" w:ascii="宋体" w:hAnsi="宋体" w:eastAsia="宋体" w:cs="宋体"/>
          <w:color w:val="auto"/>
          <w:kern w:val="0"/>
          <w:sz w:val="24"/>
          <w:szCs w:val="24"/>
          <w:shd w:val="clear" w:color="auto" w:fill="FFFFFF"/>
          <w:lang w:eastAsia="zh-CN"/>
        </w:rPr>
        <w:t>，</w:t>
      </w:r>
      <w:r>
        <w:rPr>
          <w:rFonts w:hint="eastAsia" w:ascii="宋体" w:hAnsi="宋体" w:eastAsia="宋体" w:cs="宋体"/>
          <w:color w:val="auto"/>
          <w:kern w:val="0"/>
          <w:sz w:val="24"/>
          <w:szCs w:val="24"/>
          <w:shd w:val="clear" w:color="auto" w:fill="FFFFFF"/>
          <w:lang w:val="en-US" w:eastAsia="zh-CN"/>
        </w:rPr>
        <w:t>否则应承担相应的损害赔偿责任，甲方有权从乙方的履约保证金中扣除相应价款，不足以弥补损失的，甲方有权向乙方进行追偿</w:t>
      </w:r>
      <w:r>
        <w:rPr>
          <w:rFonts w:hint="eastAsia" w:ascii="宋体" w:hAnsi="宋体" w:eastAsia="宋体" w:cs="宋体"/>
          <w:color w:val="auto"/>
          <w:kern w:val="0"/>
          <w:sz w:val="24"/>
          <w:szCs w:val="24"/>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在甲方对接管过程进行记录的情况下，新物业服务企业对物业管理区域内共有设施设备进行逐项验收并注明设备现状及接管时间后，由乙方与新物业服务企业双方在交接证明上签字盖章，现场参与人员签字。</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b w:val="0"/>
          <w:bCs w:val="0"/>
          <w:color w:val="auto"/>
          <w:kern w:val="0"/>
          <w:sz w:val="24"/>
          <w:szCs w:val="24"/>
          <w:shd w:val="clear" w:color="auto" w:fill="FFFFFF"/>
          <w:lang w:val="en-US" w:eastAsia="zh-CN"/>
        </w:rPr>
      </w:pPr>
      <w:r>
        <w:rPr>
          <w:rFonts w:hint="eastAsia" w:ascii="宋体" w:hAnsi="宋体" w:eastAsia="宋体" w:cs="宋体"/>
          <w:b w:val="0"/>
          <w:bCs w:val="0"/>
          <w:color w:val="auto"/>
          <w:kern w:val="0"/>
          <w:sz w:val="24"/>
          <w:szCs w:val="24"/>
          <w:shd w:val="clear" w:color="auto" w:fill="FFFFFF"/>
          <w:lang w:val="en-US" w:eastAsia="zh-CN"/>
        </w:rPr>
        <w:t>为保证甲乙双方顺利完成交接，甲方有权于合同到期前三个月暂停支付本合同第二条第一款中约定的由甲方向乙方按月支付的物业费用</w:t>
      </w:r>
      <w:r>
        <w:rPr>
          <w:rFonts w:hint="eastAsia" w:ascii="宋体" w:hAnsi="宋体" w:eastAsia="宋体" w:cs="宋体"/>
          <w:b w:val="0"/>
          <w:bCs w:val="0"/>
          <w:color w:val="auto"/>
          <w:kern w:val="0"/>
          <w:sz w:val="24"/>
          <w:szCs w:val="24"/>
          <w:u w:val="none"/>
          <w:shd w:val="clear" w:color="auto" w:fill="FFFFFF"/>
          <w:lang w:val="en-US" w:eastAsia="zh-CN"/>
        </w:rPr>
        <w:t>。若乙方按照本合同约定日期交接退场，甲方于乙方交接退场后10个工作日内支付向乙方不计息支付该项费用，若</w:t>
      </w:r>
      <w:r>
        <w:rPr>
          <w:rFonts w:hint="eastAsia" w:ascii="宋体" w:hAnsi="宋体" w:eastAsia="宋体" w:cs="宋体"/>
          <w:b w:val="0"/>
          <w:bCs w:val="0"/>
          <w:color w:val="auto"/>
          <w:kern w:val="0"/>
          <w:sz w:val="24"/>
          <w:szCs w:val="24"/>
          <w:shd w:val="clear" w:color="auto" w:fill="FFFFFF"/>
        </w:rPr>
        <w:t>乙方逾期未退出</w:t>
      </w:r>
      <w:r>
        <w:rPr>
          <w:rFonts w:hint="eastAsia" w:ascii="宋体" w:hAnsi="宋体" w:eastAsia="宋体" w:cs="宋体"/>
          <w:b w:val="0"/>
          <w:bCs w:val="0"/>
          <w:color w:val="auto"/>
          <w:kern w:val="0"/>
          <w:sz w:val="24"/>
          <w:szCs w:val="24"/>
          <w:shd w:val="clear" w:color="auto" w:fill="FFFFFF"/>
          <w:lang w:eastAsia="zh-CN"/>
        </w:rPr>
        <w:t>物业管理区域</w:t>
      </w:r>
      <w:r>
        <w:rPr>
          <w:rFonts w:hint="eastAsia" w:ascii="宋体" w:hAnsi="宋体" w:eastAsia="宋体" w:cs="宋体"/>
          <w:b w:val="0"/>
          <w:bCs w:val="0"/>
          <w:color w:val="auto"/>
          <w:kern w:val="0"/>
          <w:sz w:val="24"/>
          <w:szCs w:val="24"/>
          <w:shd w:val="clear" w:color="auto" w:fill="FFFFFF"/>
        </w:rPr>
        <w:t>，甲方将</w:t>
      </w:r>
      <w:r>
        <w:rPr>
          <w:rFonts w:hint="eastAsia" w:ascii="宋体" w:hAnsi="宋体" w:eastAsia="宋体" w:cs="宋体"/>
          <w:b w:val="0"/>
          <w:bCs w:val="0"/>
          <w:color w:val="auto"/>
          <w:kern w:val="0"/>
          <w:sz w:val="24"/>
          <w:szCs w:val="24"/>
          <w:shd w:val="clear" w:color="auto" w:fill="FFFFFF"/>
          <w:lang w:val="en-US" w:eastAsia="zh-CN"/>
        </w:rPr>
        <w:t>扣除该项费用。</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b w:val="0"/>
          <w:bCs w:val="0"/>
          <w:color w:val="auto"/>
          <w:kern w:val="0"/>
          <w:sz w:val="24"/>
          <w:szCs w:val="24"/>
          <w:shd w:val="clear" w:color="auto" w:fill="FFFFFF"/>
          <w:lang w:val="en-US" w:eastAsia="zh-CN"/>
        </w:rPr>
      </w:pPr>
      <w:r>
        <w:rPr>
          <w:rFonts w:hint="eastAsia" w:ascii="宋体" w:hAnsi="宋体" w:eastAsia="宋体" w:cs="宋体"/>
          <w:color w:val="auto"/>
          <w:sz w:val="24"/>
          <w:szCs w:val="24"/>
        </w:rPr>
        <w:t>甲方监督新物业服务企业与乙方对乙方在服务期间所投固定资产进行交接，新物业服务企业按固定资产折旧后的费用支付给乙方。</w:t>
      </w:r>
    </w:p>
    <w:p>
      <w:pPr>
        <w:spacing w:line="360" w:lineRule="auto"/>
        <w:rPr>
          <w:rFonts w:hint="eastAsia" w:ascii="宋体" w:hAnsi="宋体" w:eastAsia="宋体" w:cs="宋体"/>
          <w:b/>
          <w:bCs/>
          <w:color w:val="auto"/>
          <w:sz w:val="24"/>
          <w:szCs w:val="24"/>
          <w:u w:val="none"/>
        </w:rPr>
      </w:pPr>
      <w:r>
        <w:rPr>
          <w:rFonts w:hint="eastAsia" w:ascii="宋体" w:hAnsi="宋体" w:eastAsia="宋体" w:cs="宋体"/>
          <w:b/>
          <w:bCs/>
          <w:color w:val="auto"/>
          <w:sz w:val="24"/>
          <w:szCs w:val="24"/>
          <w:u w:val="none"/>
        </w:rPr>
        <w:t>十</w:t>
      </w:r>
      <w:r>
        <w:rPr>
          <w:rFonts w:hint="eastAsia" w:ascii="宋体" w:hAnsi="宋体" w:eastAsia="宋体" w:cs="宋体"/>
          <w:b/>
          <w:bCs/>
          <w:color w:val="auto"/>
          <w:sz w:val="24"/>
          <w:szCs w:val="24"/>
          <w:u w:val="none"/>
          <w:lang w:val="en-US" w:eastAsia="zh-CN"/>
        </w:rPr>
        <w:t>一</w:t>
      </w:r>
      <w:r>
        <w:rPr>
          <w:rFonts w:hint="eastAsia" w:ascii="宋体" w:hAnsi="宋体" w:eastAsia="宋体" w:cs="宋体"/>
          <w:b/>
          <w:bCs/>
          <w:color w:val="auto"/>
          <w:sz w:val="24"/>
          <w:szCs w:val="24"/>
          <w:u w:val="none"/>
        </w:rPr>
        <w:t>、争端的解决：</w:t>
      </w: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（1）甲乙双方应通过友好协商，解决争议。协商不成，双方有权向甲方所在地的人民法院提起诉讼。</w:t>
      </w: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（2）在诉讼期间，除有争端的部分外，甲乙双方应按合同条款规定继续履行其各自的义务。</w:t>
      </w:r>
    </w:p>
    <w:p>
      <w:pPr>
        <w:spacing w:line="360" w:lineRule="auto"/>
        <w:rPr>
          <w:rFonts w:hint="eastAsia" w:ascii="宋体" w:hAnsi="宋体" w:eastAsia="宋体" w:cs="宋体"/>
          <w:b/>
          <w:bCs/>
          <w:color w:val="auto"/>
          <w:sz w:val="24"/>
          <w:szCs w:val="24"/>
          <w:u w:val="none"/>
        </w:rPr>
      </w:pPr>
      <w:r>
        <w:rPr>
          <w:rFonts w:hint="eastAsia" w:ascii="宋体" w:hAnsi="宋体" w:eastAsia="宋体" w:cs="宋体"/>
          <w:b/>
          <w:bCs/>
          <w:color w:val="auto"/>
          <w:sz w:val="24"/>
          <w:szCs w:val="24"/>
          <w:u w:val="none"/>
        </w:rPr>
        <w:t>十</w:t>
      </w:r>
      <w:r>
        <w:rPr>
          <w:rFonts w:hint="eastAsia" w:ascii="宋体" w:hAnsi="宋体" w:eastAsia="宋体" w:cs="宋体"/>
          <w:b/>
          <w:bCs/>
          <w:color w:val="auto"/>
          <w:sz w:val="24"/>
          <w:szCs w:val="24"/>
          <w:u w:val="none"/>
          <w:lang w:val="en-US" w:eastAsia="zh-CN"/>
        </w:rPr>
        <w:t>二</w:t>
      </w:r>
      <w:r>
        <w:rPr>
          <w:rFonts w:hint="eastAsia" w:ascii="宋体" w:hAnsi="宋体" w:eastAsia="宋体" w:cs="宋体"/>
          <w:b/>
          <w:bCs/>
          <w:color w:val="auto"/>
          <w:sz w:val="24"/>
          <w:szCs w:val="24"/>
          <w:u w:val="none"/>
        </w:rPr>
        <w:t>、生效约定：</w:t>
      </w: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（1）甲乙双方代表签字盖章后，合同生效。本合同一式捌份，甲乙双方各执肆份，具有同等法律效力。</w:t>
      </w: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（2）合同未尽事宜，双方协商解决，双方经协商后可签订补充合同，补充合同与本合同具有同等法律效力。</w:t>
      </w: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（3）甲方关于“</w:t>
      </w:r>
      <w:r>
        <w:rPr>
          <w:rFonts w:hint="eastAsia" w:ascii="宋体" w:hAnsi="宋体" w:eastAsia="宋体" w:cs="宋体"/>
          <w:color w:val="auto"/>
          <w:sz w:val="24"/>
          <w:szCs w:val="24"/>
          <w:u w:val="none"/>
          <w:lang w:eastAsia="zh-CN"/>
        </w:rPr>
        <w:t>采购</w:t>
      </w:r>
      <w:r>
        <w:rPr>
          <w:rFonts w:hint="eastAsia" w:ascii="宋体" w:hAnsi="宋体" w:eastAsia="宋体" w:cs="宋体"/>
          <w:color w:val="auto"/>
          <w:sz w:val="24"/>
          <w:szCs w:val="24"/>
          <w:u w:val="none"/>
        </w:rPr>
        <w:t>项目”的</w:t>
      </w:r>
      <w:r>
        <w:rPr>
          <w:rFonts w:hint="eastAsia" w:ascii="宋体" w:hAnsi="宋体" w:cs="宋体"/>
          <w:color w:val="auto"/>
          <w:sz w:val="24"/>
          <w:szCs w:val="24"/>
          <w:u w:val="none"/>
          <w:lang w:eastAsia="zh-CN"/>
        </w:rPr>
        <w:t>招标</w:t>
      </w:r>
      <w:r>
        <w:rPr>
          <w:rFonts w:hint="eastAsia" w:ascii="宋体" w:hAnsi="宋体" w:eastAsia="宋体" w:cs="宋体"/>
          <w:color w:val="auto"/>
          <w:sz w:val="24"/>
          <w:szCs w:val="24"/>
          <w:u w:val="none"/>
        </w:rPr>
        <w:t>文件、</w:t>
      </w:r>
      <w:r>
        <w:rPr>
          <w:rFonts w:hint="eastAsia" w:ascii="宋体" w:hAnsi="宋体" w:cs="宋体"/>
          <w:color w:val="auto"/>
          <w:sz w:val="24"/>
          <w:szCs w:val="24"/>
          <w:u w:val="none"/>
          <w:lang w:eastAsia="zh-CN"/>
        </w:rPr>
        <w:t>中标</w:t>
      </w:r>
      <w:r>
        <w:rPr>
          <w:rFonts w:hint="eastAsia" w:ascii="宋体" w:hAnsi="宋体" w:eastAsia="宋体" w:cs="宋体"/>
          <w:color w:val="auto"/>
          <w:sz w:val="24"/>
          <w:szCs w:val="24"/>
          <w:u w:val="none"/>
        </w:rPr>
        <w:t>通知书、乙方的</w:t>
      </w:r>
      <w:r>
        <w:rPr>
          <w:rFonts w:hint="eastAsia" w:ascii="宋体" w:hAnsi="宋体" w:cs="宋体"/>
          <w:color w:val="auto"/>
          <w:sz w:val="24"/>
          <w:szCs w:val="24"/>
          <w:u w:val="none"/>
          <w:lang w:eastAsia="zh-CN"/>
        </w:rPr>
        <w:t>投标文件</w:t>
      </w:r>
      <w:r>
        <w:rPr>
          <w:rFonts w:hint="eastAsia" w:ascii="宋体" w:hAnsi="宋体" w:eastAsia="宋体" w:cs="宋体"/>
          <w:color w:val="auto"/>
          <w:sz w:val="24"/>
          <w:szCs w:val="24"/>
          <w:u w:val="none"/>
        </w:rPr>
        <w:t>、答疑文件、承诺书等文件都是本合同的组成部分，双方均应遵守。</w:t>
      </w:r>
    </w:p>
    <w:p>
      <w:pPr>
        <w:spacing w:line="360" w:lineRule="auto"/>
        <w:ind w:firstLine="480" w:firstLineChars="200"/>
        <w:rPr>
          <w:rFonts w:hint="eastAsia" w:ascii="宋体" w:hAnsi="宋体" w:eastAsia="宋体" w:cs="宋体"/>
          <w:color w:val="auto"/>
          <w:sz w:val="24"/>
          <w:szCs w:val="24"/>
          <w:u w:val="none"/>
        </w:rPr>
      </w:pPr>
    </w:p>
    <w:p>
      <w:pPr>
        <w:spacing w:line="360" w:lineRule="auto"/>
        <w:ind w:firstLine="480" w:firstLineChars="200"/>
        <w:rPr>
          <w:rFonts w:hint="eastAsia" w:ascii="宋体" w:hAnsi="宋体" w:eastAsia="宋体" w:cs="宋体"/>
          <w:color w:val="auto"/>
          <w:sz w:val="24"/>
          <w:szCs w:val="24"/>
          <w:u w:val="none"/>
        </w:rPr>
      </w:pPr>
    </w:p>
    <w:p>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（以下无正文）</w:t>
      </w:r>
    </w:p>
    <w:p>
      <w:pPr>
        <w:pStyle w:val="5"/>
        <w:rPr>
          <w:rFonts w:hint="eastAsia"/>
        </w:rPr>
      </w:pPr>
    </w:p>
    <w:tbl>
      <w:tblPr>
        <w:tblStyle w:val="9"/>
        <w:tblpPr w:leftFromText="180" w:rightFromText="180" w:vertAnchor="text" w:horzAnchor="page" w:tblpXSpec="center" w:tblpY="-4"/>
        <w:tblOverlap w:val="never"/>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86"/>
        <w:gridCol w:w="2717"/>
        <w:gridCol w:w="2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086" w:type="dxa"/>
            <w:vAlign w:val="center"/>
          </w:tcPr>
          <w:p>
            <w:pPr>
              <w:pStyle w:val="5"/>
              <w:spacing w:line="360" w:lineRule="auto"/>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甲方</w:t>
            </w:r>
          </w:p>
        </w:tc>
        <w:tc>
          <w:tcPr>
            <w:tcW w:w="2717" w:type="dxa"/>
            <w:vAlign w:val="center"/>
          </w:tcPr>
          <w:p>
            <w:pPr>
              <w:pStyle w:val="5"/>
              <w:spacing w:line="360" w:lineRule="auto"/>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乙方</w:t>
            </w:r>
          </w:p>
        </w:tc>
        <w:tc>
          <w:tcPr>
            <w:tcW w:w="2717" w:type="dxa"/>
            <w:vAlign w:val="center"/>
          </w:tcPr>
          <w:p>
            <w:pPr>
              <w:pStyle w:val="5"/>
              <w:spacing w:line="360" w:lineRule="auto"/>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color w:val="auto"/>
                <w:sz w:val="24"/>
                <w:szCs w:val="24"/>
                <w:highlight w:val="none"/>
              </w:rPr>
              <w:t>鉴定方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3086" w:type="dxa"/>
            <w:vAlign w:val="center"/>
          </w:tcPr>
          <w:p>
            <w:pPr>
              <w:pStyle w:val="5"/>
              <w:spacing w:line="360" w:lineRule="auto"/>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名称</w:t>
            </w:r>
          </w:p>
          <w:p>
            <w:pPr>
              <w:pStyle w:val="4"/>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（请填写具体名称）</w:t>
            </w:r>
          </w:p>
          <w:p>
            <w:pPr>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vertAlign w:val="baseline"/>
                <w:lang w:val="en-US" w:eastAsia="zh-CN"/>
              </w:rPr>
              <w:t>（盖章）</w:t>
            </w:r>
          </w:p>
        </w:tc>
        <w:tc>
          <w:tcPr>
            <w:tcW w:w="2717" w:type="dxa"/>
            <w:vAlign w:val="center"/>
          </w:tcPr>
          <w:p>
            <w:pPr>
              <w:pStyle w:val="4"/>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供应商全称</w:t>
            </w:r>
          </w:p>
          <w:p>
            <w:pPr>
              <w:pStyle w:val="4"/>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（请填写具体名称）</w:t>
            </w:r>
          </w:p>
          <w:p>
            <w:pPr>
              <w:pStyle w:val="5"/>
              <w:spacing w:line="360" w:lineRule="auto"/>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（盖章）</w:t>
            </w:r>
          </w:p>
        </w:tc>
        <w:tc>
          <w:tcPr>
            <w:tcW w:w="2717" w:type="dxa"/>
            <w:vAlign w:val="center"/>
          </w:tcPr>
          <w:p>
            <w:pPr>
              <w:pStyle w:val="5"/>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代理机构</w:t>
            </w:r>
          </w:p>
          <w:p>
            <w:pPr>
              <w:pStyle w:val="4"/>
              <w:spacing w:line="360" w:lineRule="auto"/>
              <w:jc w:val="center"/>
              <w:rPr>
                <w:rFonts w:hint="eastAsia" w:ascii="宋体" w:hAnsi="宋体" w:eastAsia="宋体" w:cs="宋体"/>
                <w:color w:val="auto"/>
                <w:kern w:val="0"/>
                <w:sz w:val="24"/>
                <w:szCs w:val="24"/>
                <w:highlight w:val="none"/>
              </w:rPr>
            </w:pPr>
          </w:p>
          <w:p>
            <w:pPr>
              <w:pStyle w:val="4"/>
              <w:spacing w:line="360" w:lineRule="auto"/>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color w:val="auto"/>
                <w:kern w:val="0"/>
                <w:sz w:val="24"/>
                <w:szCs w:val="24"/>
                <w:highlight w:val="none"/>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3086" w:type="dxa"/>
            <w:vAlign w:val="center"/>
          </w:tcPr>
          <w:p>
            <w:pPr>
              <w:pStyle w:val="5"/>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地址：</w:t>
            </w:r>
          </w:p>
        </w:tc>
        <w:tc>
          <w:tcPr>
            <w:tcW w:w="2717" w:type="dxa"/>
            <w:vAlign w:val="center"/>
          </w:tcPr>
          <w:p>
            <w:pPr>
              <w:pStyle w:val="5"/>
              <w:spacing w:line="360" w:lineRule="auto"/>
              <w:jc w:val="left"/>
              <w:rPr>
                <w:rFonts w:hint="eastAsia" w:ascii="宋体" w:hAnsi="宋体" w:eastAsia="宋体" w:cs="宋体"/>
                <w:kern w:val="2"/>
                <w:sz w:val="24"/>
                <w:szCs w:val="24"/>
                <w:highlight w:val="none"/>
                <w:vertAlign w:val="baseline"/>
                <w:lang w:val="en-US" w:eastAsia="zh-CN" w:bidi="ar-SA"/>
              </w:rPr>
            </w:pPr>
            <w:r>
              <w:rPr>
                <w:rFonts w:hint="eastAsia" w:ascii="宋体" w:hAnsi="宋体" w:eastAsia="宋体" w:cs="宋体"/>
                <w:sz w:val="24"/>
                <w:szCs w:val="24"/>
                <w:highlight w:val="none"/>
                <w:lang w:val="en-US" w:eastAsia="zh-CN"/>
              </w:rPr>
              <w:t>地址：</w:t>
            </w:r>
          </w:p>
        </w:tc>
        <w:tc>
          <w:tcPr>
            <w:tcW w:w="2717" w:type="dxa"/>
            <w:vAlign w:val="center"/>
          </w:tcPr>
          <w:p>
            <w:pPr>
              <w:pStyle w:val="5"/>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086"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邮编：</w:t>
            </w:r>
          </w:p>
        </w:tc>
        <w:tc>
          <w:tcPr>
            <w:tcW w:w="2717" w:type="dxa"/>
            <w:vAlign w:val="center"/>
          </w:tcPr>
          <w:p>
            <w:pPr>
              <w:pStyle w:val="5"/>
              <w:spacing w:line="360" w:lineRule="auto"/>
              <w:jc w:val="left"/>
              <w:rPr>
                <w:rFonts w:hint="eastAsia" w:ascii="宋体" w:hAnsi="宋体" w:eastAsia="宋体" w:cs="宋体"/>
                <w:kern w:val="2"/>
                <w:sz w:val="24"/>
                <w:szCs w:val="24"/>
                <w:highlight w:val="none"/>
                <w:vertAlign w:val="baseline"/>
                <w:lang w:val="en-US" w:eastAsia="zh-CN" w:bidi="ar-SA"/>
              </w:rPr>
            </w:pPr>
            <w:r>
              <w:rPr>
                <w:rFonts w:hint="eastAsia" w:ascii="宋体" w:hAnsi="宋体" w:eastAsia="宋体" w:cs="宋体"/>
                <w:sz w:val="24"/>
                <w:szCs w:val="24"/>
                <w:highlight w:val="none"/>
                <w:vertAlign w:val="baseline"/>
                <w:lang w:val="en-US" w:eastAsia="zh-CN"/>
              </w:rPr>
              <w:t>邮编：</w:t>
            </w:r>
          </w:p>
        </w:tc>
        <w:tc>
          <w:tcPr>
            <w:tcW w:w="2717"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3086"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法定代表人：</w:t>
            </w:r>
          </w:p>
        </w:tc>
        <w:tc>
          <w:tcPr>
            <w:tcW w:w="2717" w:type="dxa"/>
            <w:vAlign w:val="center"/>
          </w:tcPr>
          <w:p>
            <w:pPr>
              <w:pStyle w:val="5"/>
              <w:spacing w:line="360" w:lineRule="auto"/>
              <w:jc w:val="left"/>
              <w:rPr>
                <w:rFonts w:hint="eastAsia" w:ascii="宋体" w:hAnsi="宋体" w:eastAsia="宋体" w:cs="宋体"/>
                <w:kern w:val="2"/>
                <w:sz w:val="24"/>
                <w:szCs w:val="24"/>
                <w:highlight w:val="none"/>
                <w:vertAlign w:val="baseline"/>
                <w:lang w:val="en-US" w:eastAsia="zh-CN" w:bidi="ar-SA"/>
              </w:rPr>
            </w:pPr>
            <w:r>
              <w:rPr>
                <w:rFonts w:hint="eastAsia" w:ascii="宋体" w:hAnsi="宋体" w:eastAsia="宋体" w:cs="宋体"/>
                <w:sz w:val="24"/>
                <w:szCs w:val="24"/>
                <w:highlight w:val="none"/>
                <w:vertAlign w:val="baseline"/>
                <w:lang w:val="en-US" w:eastAsia="zh-CN"/>
              </w:rPr>
              <w:t>法定代表人：</w:t>
            </w:r>
          </w:p>
        </w:tc>
        <w:tc>
          <w:tcPr>
            <w:tcW w:w="2717"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3086"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被授权代表：（签字）</w:t>
            </w:r>
          </w:p>
        </w:tc>
        <w:tc>
          <w:tcPr>
            <w:tcW w:w="2717" w:type="dxa"/>
            <w:vAlign w:val="center"/>
          </w:tcPr>
          <w:p>
            <w:pPr>
              <w:pStyle w:val="5"/>
              <w:spacing w:line="360" w:lineRule="auto"/>
              <w:jc w:val="left"/>
              <w:rPr>
                <w:rFonts w:hint="eastAsia" w:ascii="宋体" w:hAnsi="宋体" w:eastAsia="宋体" w:cs="宋体"/>
                <w:kern w:val="2"/>
                <w:sz w:val="24"/>
                <w:szCs w:val="24"/>
                <w:highlight w:val="none"/>
                <w:vertAlign w:val="baseline"/>
                <w:lang w:val="en-US" w:eastAsia="zh-CN" w:bidi="ar-SA"/>
              </w:rPr>
            </w:pPr>
            <w:r>
              <w:rPr>
                <w:rFonts w:hint="eastAsia" w:ascii="宋体" w:hAnsi="宋体" w:eastAsia="宋体" w:cs="宋体"/>
                <w:sz w:val="24"/>
                <w:szCs w:val="24"/>
                <w:highlight w:val="none"/>
                <w:vertAlign w:val="baseline"/>
                <w:lang w:val="en-US" w:eastAsia="zh-CN"/>
              </w:rPr>
              <w:t>被授权代表：（签字）</w:t>
            </w:r>
          </w:p>
        </w:tc>
        <w:tc>
          <w:tcPr>
            <w:tcW w:w="2717"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被授权代表：（签字）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86"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电话：</w:t>
            </w:r>
          </w:p>
        </w:tc>
        <w:tc>
          <w:tcPr>
            <w:tcW w:w="2717" w:type="dxa"/>
            <w:vAlign w:val="center"/>
          </w:tcPr>
          <w:p>
            <w:pPr>
              <w:pStyle w:val="5"/>
              <w:spacing w:line="360" w:lineRule="auto"/>
              <w:jc w:val="left"/>
              <w:rPr>
                <w:rFonts w:hint="eastAsia" w:ascii="宋体" w:hAnsi="宋体" w:eastAsia="宋体" w:cs="宋体"/>
                <w:kern w:val="2"/>
                <w:sz w:val="24"/>
                <w:szCs w:val="24"/>
                <w:highlight w:val="none"/>
                <w:vertAlign w:val="baseline"/>
                <w:lang w:val="en-US" w:eastAsia="zh-CN" w:bidi="ar-SA"/>
              </w:rPr>
            </w:pPr>
            <w:r>
              <w:rPr>
                <w:rFonts w:hint="eastAsia" w:ascii="宋体" w:hAnsi="宋体" w:eastAsia="宋体" w:cs="宋体"/>
                <w:sz w:val="24"/>
                <w:szCs w:val="24"/>
                <w:highlight w:val="none"/>
                <w:vertAlign w:val="baseline"/>
                <w:lang w:val="en-US" w:eastAsia="zh-CN"/>
              </w:rPr>
              <w:t>电话：</w:t>
            </w:r>
          </w:p>
        </w:tc>
        <w:tc>
          <w:tcPr>
            <w:tcW w:w="2717"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3086"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传真：</w:t>
            </w:r>
          </w:p>
        </w:tc>
        <w:tc>
          <w:tcPr>
            <w:tcW w:w="2717" w:type="dxa"/>
            <w:vAlign w:val="center"/>
          </w:tcPr>
          <w:p>
            <w:pPr>
              <w:pStyle w:val="5"/>
              <w:spacing w:line="360" w:lineRule="auto"/>
              <w:jc w:val="left"/>
              <w:rPr>
                <w:rFonts w:hint="eastAsia" w:ascii="宋体" w:hAnsi="宋体" w:eastAsia="宋体" w:cs="宋体"/>
                <w:kern w:val="2"/>
                <w:sz w:val="24"/>
                <w:szCs w:val="24"/>
                <w:highlight w:val="none"/>
                <w:vertAlign w:val="baseline"/>
                <w:lang w:val="en-US" w:eastAsia="zh-CN" w:bidi="ar-SA"/>
              </w:rPr>
            </w:pPr>
            <w:r>
              <w:rPr>
                <w:rFonts w:hint="eastAsia" w:ascii="宋体" w:hAnsi="宋体" w:eastAsia="宋体" w:cs="宋体"/>
                <w:sz w:val="24"/>
                <w:szCs w:val="24"/>
                <w:highlight w:val="none"/>
                <w:vertAlign w:val="baseline"/>
                <w:lang w:val="en-US" w:eastAsia="zh-CN"/>
              </w:rPr>
              <w:t>传真：</w:t>
            </w:r>
          </w:p>
        </w:tc>
        <w:tc>
          <w:tcPr>
            <w:tcW w:w="2717"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3086"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p>
        </w:tc>
        <w:tc>
          <w:tcPr>
            <w:tcW w:w="2717" w:type="dxa"/>
            <w:vAlign w:val="center"/>
          </w:tcPr>
          <w:p>
            <w:pPr>
              <w:pStyle w:val="5"/>
              <w:spacing w:line="360" w:lineRule="auto"/>
              <w:jc w:val="left"/>
              <w:rPr>
                <w:rFonts w:hint="eastAsia" w:ascii="宋体" w:hAnsi="宋体" w:eastAsia="宋体" w:cs="宋体"/>
                <w:kern w:val="2"/>
                <w:sz w:val="24"/>
                <w:szCs w:val="24"/>
                <w:highlight w:val="none"/>
                <w:vertAlign w:val="baseline"/>
                <w:lang w:val="en-US" w:eastAsia="zh-CN" w:bidi="ar-SA"/>
              </w:rPr>
            </w:pPr>
            <w:r>
              <w:rPr>
                <w:rFonts w:hint="eastAsia" w:ascii="宋体" w:hAnsi="宋体" w:eastAsia="宋体" w:cs="宋体"/>
                <w:sz w:val="24"/>
                <w:szCs w:val="24"/>
                <w:highlight w:val="none"/>
                <w:vertAlign w:val="baseline"/>
                <w:lang w:val="en-US" w:eastAsia="zh-CN"/>
              </w:rPr>
              <w:t>开户银行：</w:t>
            </w:r>
          </w:p>
        </w:tc>
        <w:tc>
          <w:tcPr>
            <w:tcW w:w="2717"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086"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p>
        </w:tc>
        <w:tc>
          <w:tcPr>
            <w:tcW w:w="2717" w:type="dxa"/>
            <w:vAlign w:val="center"/>
          </w:tcPr>
          <w:p>
            <w:pPr>
              <w:pStyle w:val="5"/>
              <w:spacing w:line="360" w:lineRule="auto"/>
              <w:jc w:val="left"/>
              <w:rPr>
                <w:rFonts w:hint="eastAsia" w:ascii="宋体" w:hAnsi="宋体" w:eastAsia="宋体" w:cs="宋体"/>
                <w:kern w:val="2"/>
                <w:sz w:val="24"/>
                <w:szCs w:val="24"/>
                <w:highlight w:val="none"/>
                <w:vertAlign w:val="baseline"/>
                <w:lang w:val="en-US" w:eastAsia="zh-CN" w:bidi="ar-SA"/>
              </w:rPr>
            </w:pPr>
            <w:r>
              <w:rPr>
                <w:rFonts w:hint="eastAsia" w:ascii="宋体" w:hAnsi="宋体" w:eastAsia="宋体" w:cs="宋体"/>
                <w:sz w:val="24"/>
                <w:szCs w:val="24"/>
                <w:highlight w:val="none"/>
                <w:vertAlign w:val="baseline"/>
                <w:lang w:val="en-US" w:eastAsia="zh-CN"/>
              </w:rPr>
              <w:t>账号：</w:t>
            </w:r>
          </w:p>
        </w:tc>
        <w:tc>
          <w:tcPr>
            <w:tcW w:w="2717" w:type="dxa"/>
            <w:vAlign w:val="center"/>
          </w:tcPr>
          <w:p>
            <w:pPr>
              <w:pStyle w:val="5"/>
              <w:spacing w:line="360" w:lineRule="auto"/>
              <w:jc w:val="left"/>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3086" w:type="dxa"/>
            <w:vAlign w:val="center"/>
          </w:tcPr>
          <w:p>
            <w:pPr>
              <w:pStyle w:val="5"/>
              <w:spacing w:line="360" w:lineRule="auto"/>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日期：  年    月    日</w:t>
            </w:r>
          </w:p>
        </w:tc>
        <w:tc>
          <w:tcPr>
            <w:tcW w:w="2717" w:type="dxa"/>
            <w:vAlign w:val="center"/>
          </w:tcPr>
          <w:p>
            <w:pPr>
              <w:pStyle w:val="5"/>
              <w:spacing w:line="360" w:lineRule="auto"/>
              <w:jc w:val="both"/>
              <w:rPr>
                <w:rFonts w:hint="eastAsia" w:ascii="宋体" w:hAnsi="宋体" w:eastAsia="宋体" w:cs="宋体"/>
                <w:kern w:val="2"/>
                <w:sz w:val="24"/>
                <w:szCs w:val="24"/>
                <w:highlight w:val="none"/>
                <w:vertAlign w:val="baseline"/>
                <w:lang w:val="en-US" w:eastAsia="zh-CN" w:bidi="ar-SA"/>
              </w:rPr>
            </w:pPr>
            <w:r>
              <w:rPr>
                <w:rFonts w:hint="eastAsia" w:ascii="宋体" w:hAnsi="宋体" w:eastAsia="宋体" w:cs="宋体"/>
                <w:sz w:val="24"/>
                <w:szCs w:val="24"/>
                <w:highlight w:val="none"/>
                <w:vertAlign w:val="baseline"/>
                <w:lang w:val="en-US" w:eastAsia="zh-CN"/>
              </w:rPr>
              <w:t>日期：  年   月    日</w:t>
            </w:r>
          </w:p>
        </w:tc>
        <w:tc>
          <w:tcPr>
            <w:tcW w:w="2717" w:type="dxa"/>
            <w:vAlign w:val="center"/>
          </w:tcPr>
          <w:p>
            <w:pPr>
              <w:pStyle w:val="5"/>
              <w:spacing w:line="360" w:lineRule="auto"/>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日期：  年   月    日</w:t>
            </w:r>
          </w:p>
        </w:tc>
      </w:tr>
    </w:tbl>
    <w:p>
      <w:pPr>
        <w:rPr>
          <w:rFonts w:hint="eastAsia" w:ascii="宋体" w:hAnsi="宋体" w:eastAsia="宋体" w:cs="宋体"/>
        </w:rPr>
      </w:pPr>
    </w:p>
    <w:p>
      <w:pPr>
        <w:pStyle w:val="13"/>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rPr>
        <w:br w:type="textWrapping"/>
      </w:r>
    </w:p>
    <w:p/>
    <w:sectPr>
      <w:headerReference r:id="rId3" w:type="default"/>
      <w:footerReference r:id="rId4" w:type="default"/>
      <w:footerReference r:id="rId5" w:type="even"/>
      <w:pgSz w:w="11906" w:h="16838"/>
      <w:pgMar w:top="1701" w:right="1800" w:bottom="1701" w:left="1800" w:header="851" w:footer="992" w:gutter="0"/>
      <w:pgNumType w:start="0"/>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1</w:t>
    </w:r>
    <w:r>
      <w:rPr>
        <w:rStyle w:val="11"/>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3C59A1"/>
    <w:multiLevelType w:val="singleLevel"/>
    <w:tmpl w:val="F93C59A1"/>
    <w:lvl w:ilvl="0" w:tentative="0">
      <w:start w:val="1"/>
      <w:numFmt w:val="decimal"/>
      <w:suff w:val="nothing"/>
      <w:lvlText w:val="（%1）"/>
      <w:lvlJc w:val="left"/>
      <w:rPr>
        <w:rFonts w:cs="Times New Roman"/>
      </w:rPr>
    </w:lvl>
  </w:abstractNum>
  <w:abstractNum w:abstractNumId="1">
    <w:nsid w:val="03969D7D"/>
    <w:multiLevelType w:val="singleLevel"/>
    <w:tmpl w:val="03969D7D"/>
    <w:lvl w:ilvl="0" w:tentative="0">
      <w:start w:val="1"/>
      <w:numFmt w:val="chineseCounting"/>
      <w:suff w:val="nothing"/>
      <w:lvlText w:val="（%1）"/>
      <w:lvlJc w:val="left"/>
      <w:rPr>
        <w:rFonts w:hint="eastAsia"/>
      </w:rPr>
    </w:lvl>
  </w:abstractNum>
  <w:abstractNum w:abstractNumId="2">
    <w:nsid w:val="5E9C5BB9"/>
    <w:multiLevelType w:val="singleLevel"/>
    <w:tmpl w:val="5E9C5BB9"/>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hM2I1N2FkM2RiNDA0NWMxYTZmMDg5ZTc3ZWI3NzkifQ=="/>
  </w:docVars>
  <w:rsids>
    <w:rsidRoot w:val="6C9E01E5"/>
    <w:rsid w:val="05155AAE"/>
    <w:rsid w:val="07D631BD"/>
    <w:rsid w:val="08652031"/>
    <w:rsid w:val="08C00F7E"/>
    <w:rsid w:val="156B2AE2"/>
    <w:rsid w:val="1CAF470B"/>
    <w:rsid w:val="20BD2FAA"/>
    <w:rsid w:val="312C0A8A"/>
    <w:rsid w:val="37CF301E"/>
    <w:rsid w:val="3A1E65D5"/>
    <w:rsid w:val="3B3D00E6"/>
    <w:rsid w:val="3BC71E15"/>
    <w:rsid w:val="41F40EE2"/>
    <w:rsid w:val="45B244FF"/>
    <w:rsid w:val="468357E1"/>
    <w:rsid w:val="51D834DA"/>
    <w:rsid w:val="56427B94"/>
    <w:rsid w:val="62410803"/>
    <w:rsid w:val="65283AF8"/>
    <w:rsid w:val="65430DDB"/>
    <w:rsid w:val="6AD47DDD"/>
    <w:rsid w:val="6C9E0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Char"/>
    <w:basedOn w:val="1"/>
    <w:qFormat/>
    <w:uiPriority w:val="0"/>
    <w:pPr>
      <w:tabs>
        <w:tab w:val="left" w:pos="360"/>
      </w:tabs>
    </w:pPr>
    <w:rPr>
      <w:rFonts w:ascii="Calibri" w:hAnsi="Calibri"/>
      <w:sz w:val="24"/>
    </w:rPr>
  </w:style>
  <w:style w:type="paragraph" w:styleId="4">
    <w:name w:val="Body Text"/>
    <w:basedOn w:val="1"/>
    <w:next w:val="1"/>
    <w:qFormat/>
    <w:uiPriority w:val="0"/>
    <w:pPr>
      <w:spacing w:after="120"/>
    </w:pPr>
    <w:rPr>
      <w:szCs w:val="24"/>
    </w:rPr>
  </w:style>
  <w:style w:type="paragraph" w:styleId="5">
    <w:name w:val="footer"/>
    <w:basedOn w:val="1"/>
    <w:next w:val="4"/>
    <w:semiHidden/>
    <w:qFormat/>
    <w:uiPriority w:val="99"/>
    <w:pPr>
      <w:tabs>
        <w:tab w:val="center" w:pos="4153"/>
        <w:tab w:val="right" w:pos="8306"/>
      </w:tabs>
      <w:snapToGrid w:val="0"/>
      <w:jc w:val="left"/>
    </w:pPr>
    <w:rPr>
      <w:sz w:val="18"/>
      <w:szCs w:val="18"/>
    </w:rPr>
  </w:style>
  <w:style w:type="paragraph" w:styleId="6">
    <w:name w:val="header"/>
    <w:basedOn w:val="1"/>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99"/>
    <w:rPr>
      <w:rFonts w:cs="Times New Roman"/>
    </w:rPr>
  </w:style>
  <w:style w:type="paragraph" w:customStyle="1" w:styleId="12">
    <w:name w:val="List Paragraph1"/>
    <w:qFormat/>
    <w:uiPriority w:val="99"/>
    <w:pPr>
      <w:ind w:firstLine="420" w:firstLineChars="200"/>
    </w:pPr>
    <w:rPr>
      <w:rFonts w:ascii="Times New Roman" w:hAnsi="Times New Roman" w:eastAsia="宋体" w:cs="Times New Roman"/>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4106</Words>
  <Characters>4171</Characters>
  <Lines>0</Lines>
  <Paragraphs>0</Paragraphs>
  <TotalTime>0</TotalTime>
  <ScaleCrop>false</ScaleCrop>
  <LinksUpToDate>false</LinksUpToDate>
  <CharactersWithSpaces>4307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2024-07-05T09:14:00Z</dcterms:created>
  <dc:creator>人云日月</dc:creator>
  <cp:lastModifiedBy>Lucky girl</cp:lastModifiedBy>
  <dcterms:modified xsi:type="dcterms:W3CDTF">2024-09-05T04:24:25Z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A66EFF5F3EA64742A185EAFCDC2D6725_13</vt:lpwstr>
  </property>
</Properties>
</file>