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西安国家民用航天产业基地三爻路(航天北路-共建四路)、三爻堡路(汉口街-航天西路)市政工程监理服务项目</w:t>
      </w:r>
    </w:p>
    <w:p>
      <w:pPr>
        <w:pStyle w:val="null3"/>
        <w:jc w:val="center"/>
        <w:outlineLvl w:val="2"/>
      </w:pPr>
      <w:r>
        <w:rPr>
          <w:sz w:val="28"/>
          <w:b/>
        </w:rPr>
        <w:t>采购项目编号：</w:t>
      </w:r>
      <w:r>
        <w:rPr>
          <w:sz w:val="28"/>
          <w:b/>
        </w:rPr>
        <w:t>HYTF-202408071</w:t>
      </w:r>
      <w:r>
        <w:br/>
      </w:r>
      <w:r>
        <w:br/>
      </w:r>
      <w:r>
        <w:br/>
      </w:r>
    </w:p>
    <w:p>
      <w:pPr>
        <w:pStyle w:val="null3"/>
        <w:jc w:val="center"/>
        <w:outlineLvl w:val="2"/>
      </w:pPr>
      <w:r>
        <w:rPr>
          <w:sz w:val="28"/>
          <w:b/>
        </w:rPr>
        <w:t>西安国家民用航天产业基地城市更新发展服务中心</w:t>
      </w:r>
    </w:p>
    <w:p>
      <w:pPr>
        <w:pStyle w:val="null3"/>
        <w:jc w:val="center"/>
        <w:outlineLvl w:val="2"/>
      </w:pPr>
      <w:r>
        <w:rPr>
          <w:sz w:val="28"/>
          <w:b/>
        </w:rPr>
        <w:t>陕西四方衡裕项目管理有限公司</w:t>
      </w:r>
      <w:r>
        <w:rPr>
          <w:sz w:val="28"/>
          <w:b/>
        </w:rPr>
        <w:t>共同编制</w:t>
      </w:r>
    </w:p>
    <w:p>
      <w:pPr>
        <w:pStyle w:val="null3"/>
        <w:jc w:val="center"/>
        <w:outlineLvl w:val="2"/>
      </w:pPr>
      <w:r>
        <w:rPr>
          <w:sz w:val="28"/>
          <w:b/>
        </w:rPr>
        <w:t>2024年09月05日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陕西四方衡裕项目管理有限公司</w:t>
      </w:r>
      <w:r>
        <w:rPr/>
        <w:t>（以下简称“代理机构”）受</w:t>
      </w:r>
      <w:r>
        <w:rPr/>
        <w:t>西安国家民用航天产业基地城市更新发展服务中心</w:t>
      </w:r>
      <w:r>
        <w:rPr/>
        <w:t>委托，拟对</w:t>
      </w:r>
      <w:r>
        <w:rPr/>
        <w:t>西安国家民用航天产业基地三爻路(航天北路-共建四路)、三爻堡路(汉口街-航天西路)市政工程监理服务项目</w:t>
      </w:r>
      <w:r>
        <w:rPr/>
        <w:t>采用竞争性磋商采购方式进行采购，兹邀请供应商参加本项目的竞争性磋商。</w:t>
      </w:r>
    </w:p>
    <w:p>
      <w:pPr>
        <w:pStyle w:val="null3"/>
        <w:outlineLvl w:val="2"/>
      </w:pPr>
      <w:r>
        <w:rPr>
          <w:sz w:val="28"/>
          <w:b/>
        </w:rPr>
        <w:t>一、项目编号：</w:t>
      </w:r>
      <w:r>
        <w:rPr>
          <w:sz w:val="28"/>
          <w:b/>
        </w:rPr>
        <w:t>HYTF-202408071</w:t>
      </w:r>
    </w:p>
    <w:p>
      <w:pPr>
        <w:pStyle w:val="null3"/>
        <w:outlineLvl w:val="2"/>
      </w:pPr>
      <w:r>
        <w:rPr>
          <w:sz w:val="28"/>
          <w:b/>
        </w:rPr>
        <w:t>二、项目名称：</w:t>
      </w:r>
      <w:r>
        <w:rPr>
          <w:sz w:val="28"/>
          <w:b/>
        </w:rPr>
        <w:t>西安国家民用航天产业基地三爻路(航天北路-共建四路)、三爻堡路(汉口街-航天西路)市政工程监理服务项目</w:t>
      </w:r>
    </w:p>
    <w:p>
      <w:pPr>
        <w:pStyle w:val="null3"/>
        <w:outlineLvl w:val="2"/>
      </w:pPr>
      <w:r>
        <w:rPr>
          <w:sz w:val="28"/>
          <w:b/>
        </w:rPr>
        <w:t>三、磋商项目简介</w:t>
      </w:r>
    </w:p>
    <w:p>
      <w:pPr>
        <w:pStyle w:val="null3"/>
        <w:ind w:firstLine="480"/>
      </w:pPr>
      <w:r>
        <w:rPr/>
        <w:t>西安国家民用航天产业基地三爻路(航天北路-共建四路)、三爻堡路(汉口街-航天西路)市政工程监理服务项目，1项。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采购包1（西安国家民用航天产业基地三爻路(航天北路-共建四路)、三爻堡路(汉口街-航天西路)市政工程监理服务项目）：属于专门面向中小企业采购。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1、营业执照等主体资格证明文件：提供有效存续的企业营业执照/事业单位法人证书/专业服务机构执业许可证/民办非企业单位登记证书，自然人投标的提供其身份证明；</w:t>
      </w:r>
    </w:p>
    <w:p>
      <w:pPr>
        <w:pStyle w:val="null3"/>
      </w:pPr>
      <w:r>
        <w:rPr/>
        <w:t>2、财务状况报告：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t>3、税收缴纳证明：提供2024年1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t>4、社保缴纳证明：提供2024年1月至今已缴存任意一个月社会保障资金缴存单据或社保机构开具的社会保险参保缴费证明，依法不需要缴纳社会保障资金的单位应提供相应证明文件；</w:t>
      </w:r>
    </w:p>
    <w:p>
      <w:pPr>
        <w:pStyle w:val="null3"/>
      </w:pPr>
      <w:r>
        <w:rPr/>
        <w:t>5、履行合同所必需的设备和专业技术能力：具备履行合同所必需的设备和专业技术能力的证明材料或书面声明；</w:t>
      </w:r>
    </w:p>
    <w:p>
      <w:pPr>
        <w:pStyle w:val="null3"/>
      </w:pPr>
      <w:r>
        <w:rPr/>
        <w:t>6、采购活动前三年内在经营活动中没有重大违法记录：参加政府采购活动前三年内在经营活动中没有重大违法记录的书面声明；</w:t>
      </w:r>
    </w:p>
    <w:p>
      <w:pPr>
        <w:pStyle w:val="null3"/>
      </w:pPr>
      <w:r>
        <w:rPr/>
        <w:t>7、法律、行政法规规定的其他条件：具备法律、行政法规规定的其他条件的证明材料。</w:t>
      </w:r>
    </w:p>
    <w:p>
      <w:pPr>
        <w:pStyle w:val="null3"/>
      </w:pPr>
      <w:r>
        <w:rPr/>
        <w:t>8、企业资质：供应商须具备工程监理综合资质或市政公用工程监理乙级及以上（含乙级）资质。</w:t>
      </w:r>
    </w:p>
    <w:p>
      <w:pPr>
        <w:pStyle w:val="null3"/>
      </w:pPr>
      <w:r>
        <w:rPr/>
        <w:t>9、项目总监：拟派项目总监具备市政公用工程专业国家注册监理工程师执业证书，且在本单位注册，无在建项目。</w:t>
      </w:r>
    </w:p>
    <w:p>
      <w:pPr>
        <w:pStyle w:val="null3"/>
      </w:pPr>
      <w:r>
        <w:rPr/>
        <w:t>10、信息查询：供应商基本信息及项目总监的基本信息在“陕西省住房和城乡建设厅（https://js.shaanxi.gov.cn/）可查询。</w:t>
      </w:r>
    </w:p>
    <w:p>
      <w:pPr>
        <w:pStyle w:val="null3"/>
      </w:pPr>
      <w:r>
        <w:rPr/>
        <w:t>11、企业信用查询：供应商通过“信用中国”网站(www.creditchina.gov.cn)、中国政府采购网(www.ccgp.gov.cn)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t>12、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t>13、本项目不接受联合体投标，不允许分包：本项目不接受联合体投标，不允许分包。供应商提供《非联合体不分包投标声明》，视为独立投标，不分包。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西安国家民用航天产业基地城市更新发展服务中心</w:t>
      </w:r>
    </w:p>
    <w:p>
      <w:pPr>
        <w:pStyle w:val="null3"/>
      </w:pPr>
      <w:r>
        <w:rPr/>
        <w:t xml:space="preserve"> 地址： </w:t>
      </w:r>
      <w:r>
        <w:rPr/>
        <w:t>西安市航天中路398号寰宇大厦</w:t>
      </w:r>
    </w:p>
    <w:p>
      <w:pPr>
        <w:pStyle w:val="null3"/>
      </w:pPr>
      <w:r>
        <w:rPr/>
        <w:t xml:space="preserve"> 邮编： </w:t>
      </w:r>
      <w:r>
        <w:rPr/>
        <w:t>710100</w:t>
      </w:r>
    </w:p>
    <w:p>
      <w:pPr>
        <w:pStyle w:val="null3"/>
      </w:pPr>
      <w:r>
        <w:rPr/>
        <w:t xml:space="preserve"> 联系人： </w:t>
      </w:r>
      <w:r>
        <w:rPr/>
        <w:t>常辉</w:t>
      </w:r>
    </w:p>
    <w:p>
      <w:pPr>
        <w:pStyle w:val="null3"/>
      </w:pPr>
      <w:r>
        <w:rPr/>
        <w:t xml:space="preserve"> 联系电话： </w:t>
      </w:r>
      <w:r>
        <w:rPr/>
        <w:t>029-85875753</w:t>
      </w:r>
    </w:p>
    <w:p>
      <w:pPr>
        <w:pStyle w:val="null3"/>
        <w:outlineLvl w:val="3"/>
      </w:pPr>
      <w:r>
        <w:rPr>
          <w:sz w:val="24"/>
          <w:b/>
        </w:rPr>
        <w:t>代理机构：</w:t>
      </w:r>
      <w:r>
        <w:rPr>
          <w:sz w:val="24"/>
          <w:b/>
        </w:rPr>
        <w:t>陕西四方衡裕项目管理有限公司</w:t>
      </w:r>
    </w:p>
    <w:p>
      <w:pPr>
        <w:pStyle w:val="null3"/>
      </w:pPr>
      <w:r>
        <w:rPr/>
        <w:t xml:space="preserve"> 地址： </w:t>
      </w:r>
      <w:r>
        <w:rPr/>
        <w:t>西安市高新区沣惠路16号泰华金贸国际8号楼28层</w:t>
      </w:r>
    </w:p>
    <w:p>
      <w:pPr>
        <w:pStyle w:val="null3"/>
      </w:pPr>
      <w:r>
        <w:rPr/>
        <w:t xml:space="preserve"> 邮编： </w:t>
      </w:r>
      <w:r>
        <w:rPr/>
        <w:t>710075</w:t>
      </w:r>
    </w:p>
    <w:p>
      <w:pPr>
        <w:pStyle w:val="null3"/>
      </w:pPr>
      <w:r>
        <w:rPr/>
        <w:t xml:space="preserve"> 联系人： </w:t>
      </w:r>
      <w:r>
        <w:rPr/>
        <w:t>李亚容、赵维</w:t>
      </w:r>
    </w:p>
    <w:p>
      <w:pPr>
        <w:pStyle w:val="null3"/>
      </w:pPr>
      <w:r>
        <w:rPr/>
        <w:t xml:space="preserve"> 联系电话： </w:t>
      </w:r>
      <w:r>
        <w:rPr/>
        <w:t>029-89284433-605</w:t>
      </w:r>
    </w:p>
    <w:p>
      <w:pPr>
        <w:pStyle w:val="null3"/>
        <w:outlineLvl w:val="3"/>
      </w:pPr>
      <w:r>
        <w:rPr>
          <w:sz w:val="24"/>
          <w:b/>
        </w:rPr>
        <w:t>采购监督机构：</w:t>
      </w:r>
      <w:r>
        <w:rPr>
          <w:sz w:val="24"/>
          <w:b/>
        </w:rPr>
        <w:t>西安国家民用航天产业基地财政金融局</w:t>
      </w:r>
    </w:p>
    <w:p>
      <w:pPr>
        <w:pStyle w:val="null3"/>
        <w:ind w:firstLine="480"/>
      </w:pPr>
      <w:r>
        <w:rPr/>
        <w:t>联系人：</w:t>
      </w:r>
      <w:r>
        <w:rPr/>
        <w:t>姜老师</w:t>
      </w:r>
    </w:p>
    <w:p>
      <w:pPr>
        <w:pStyle w:val="null3"/>
        <w:ind w:firstLine="480"/>
      </w:pPr>
      <w:r>
        <w:rPr/>
        <w:t>联系电话：</w:t>
      </w:r>
      <w:r>
        <w:rPr/>
        <w:t>029-85688753</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采购包1：500,300.00元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西安国家民用航天产业基地城市更新发展服务中心</w:t>
      </w:r>
      <w:r>
        <w:rPr/>
        <w:t>和</w:t>
      </w:r>
      <w:r>
        <w:rPr/>
        <w:t>陕西四方衡裕项目管理有限公司</w:t>
      </w:r>
      <w:r>
        <w:rPr/>
        <w:t>享有。对磋商文件中供应商参加本次政府采购活动应当具备的条件，磋商项目技术、服务、商务及其他要求，评审细则及标准由</w:t>
      </w:r>
      <w:r>
        <w:rPr/>
        <w:t>西安国家民用航天产业基地城市更新发展服务中心</w:t>
      </w:r>
      <w:r>
        <w:rPr/>
        <w:t>负责解释。除上述磋商文件内容，其他内容由</w:t>
      </w:r>
      <w:r>
        <w:rPr/>
        <w:t>陕西四方衡裕项目管理有限公司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西安国家民用航天产业基地城市更新发展服务中心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陕西四方衡裕项目管理有限公司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陕西四方衡裕项目管理有限公司</w:t>
      </w:r>
      <w:r>
        <w:rPr/>
        <w:t xml:space="preserve"> 负责答复；供应商对除采购需求外的采购文件的询问、质疑由</w:t>
      </w:r>
      <w:r>
        <w:rPr/>
        <w:t>陕西四方衡裕项目管理有限公司</w:t>
      </w:r>
      <w:r>
        <w:rPr/>
        <w:t xml:space="preserve"> 负责答复；供应商对采购过程、采购结果的询问、质疑由 </w:t>
      </w:r>
      <w:r>
        <w:rPr/>
        <w:t>陕西四方衡裕项目管理有限公司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联系人：赵维、李亚容</w:t>
      </w:r>
    </w:p>
    <w:p>
      <w:pPr>
        <w:pStyle w:val="null3"/>
      </w:pPr>
      <w:r>
        <w:rPr/>
        <w:t>联系电话：029-89284433-605</w:t>
      </w:r>
    </w:p>
    <w:p>
      <w:pPr>
        <w:pStyle w:val="null3"/>
      </w:pPr>
      <w:r>
        <w:rPr/>
        <w:t>地址：西安市高新区沣惠路16号泰华金贸国际8号楼28层</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西安国家民用航天产业基地三爻路(航天北路-共建四路)、三爻堡路(汉口街-航天西路)市政工程监理服务项目，1项。</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500,300.00</w:t>
      </w:r>
    </w:p>
    <w:p>
      <w:pPr>
        <w:pStyle w:val="null3"/>
      </w:pPr>
      <w:r>
        <w:rPr/>
        <w:t>采购包最高限价（元）: 500,300.00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500300</w:t>
            </w:r>
          </w:p>
        </w:tc>
        <w:tc>
          <w:tcPr>
            <w:tcW w:type="dxa" w:w="831"/>
          </w:tcPr>
          <w:p>
            <w:pPr>
              <w:pStyle w:val="null3"/>
              <w:jc w:val="right"/>
            </w:pPr>
            <w:r>
              <w:rPr/>
              <w:t>1.00</w:t>
            </w:r>
          </w:p>
        </w:tc>
        <w:tc>
          <w:tcPr>
            <w:tcW w:type="dxa" w:w="831"/>
          </w:tcPr>
          <w:p>
            <w:pPr>
              <w:pStyle w:val="null3"/>
              <w:jc w:val="right"/>
            </w:pPr>
            <w:r>
              <w:rPr/>
              <w:t>500,300.00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标的名称：500300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2"/>
              <w:jc w:val="both"/>
            </w:pPr>
            <w:r>
              <w:rPr>
                <w:rFonts w:ascii="宋体" w:hAnsi="宋体" w:cs="宋体" w:eastAsia="宋体"/>
                <w:sz w:val="21"/>
                <w:b/>
              </w:rPr>
              <w:t>一、项目概况</w:t>
            </w:r>
          </w:p>
          <w:p>
            <w:pPr>
              <w:pStyle w:val="null3"/>
              <w:jc w:val="both"/>
            </w:pPr>
            <w:r>
              <w:rPr>
                <w:rFonts w:ascii="宋体" w:hAnsi="宋体" w:cs="宋体" w:eastAsia="宋体"/>
                <w:sz w:val="21"/>
              </w:rPr>
              <w:t>西安国家民用航天产业基地三爻路</w:t>
            </w:r>
            <w:r>
              <w:rPr>
                <w:rFonts w:ascii="宋体" w:hAnsi="宋体" w:cs="宋体" w:eastAsia="宋体"/>
                <w:sz w:val="21"/>
              </w:rPr>
              <w:t>(航天北路-共建四路)、三爻堡路(汉口街-航天西路)市政工程监理服务</w:t>
            </w:r>
            <w:r>
              <w:rPr>
                <w:rFonts w:ascii="宋体" w:hAnsi="宋体" w:cs="宋体" w:eastAsia="宋体"/>
                <w:sz w:val="21"/>
              </w:rPr>
              <w:t>项目，</w:t>
            </w:r>
            <w:r>
              <w:rPr>
                <w:rFonts w:ascii="宋体" w:hAnsi="宋体" w:cs="宋体" w:eastAsia="宋体"/>
                <w:sz w:val="21"/>
              </w:rPr>
              <w:t>三爻路南起航天北路，北至共建四路，道路红线宽度</w:t>
            </w:r>
            <w:r>
              <w:rPr>
                <w:rFonts w:ascii="times new roman, times, serif" w:hAnsi="times new roman, times, serif" w:cs="times new roman, times, serif" w:eastAsia="times new roman, times, serif"/>
                <w:sz w:val="21"/>
              </w:rPr>
              <w:t>26m</w:t>
            </w:r>
            <w:r>
              <w:rPr>
                <w:rFonts w:ascii="宋体" w:hAnsi="宋体" w:cs="宋体" w:eastAsia="宋体"/>
                <w:sz w:val="21"/>
              </w:rPr>
              <w:t>，道路长度</w:t>
            </w:r>
            <w:r>
              <w:rPr>
                <w:rFonts w:ascii="times new roman, times, serif" w:hAnsi="times new roman, times, serif" w:cs="times new roman, times, serif" w:eastAsia="times new roman, times, serif"/>
                <w:sz w:val="21"/>
              </w:rPr>
              <w:t>252.36m</w:t>
            </w:r>
            <w:r>
              <w:rPr>
                <w:rFonts w:ascii="宋体" w:hAnsi="宋体" w:cs="宋体" w:eastAsia="宋体"/>
                <w:sz w:val="21"/>
              </w:rPr>
              <w:t>，城市次干路；三爻堡路西起汉口街，东至航天西路，道路红线宽度</w:t>
            </w:r>
            <w:r>
              <w:rPr>
                <w:rFonts w:ascii="times new roman, times, serif" w:hAnsi="times new roman, times, serif" w:cs="times new roman, times, serif" w:eastAsia="times new roman, times, serif"/>
                <w:sz w:val="21"/>
              </w:rPr>
              <w:t>25m</w:t>
            </w:r>
            <w:r>
              <w:rPr>
                <w:rFonts w:ascii="宋体" w:hAnsi="宋体" w:cs="宋体" w:eastAsia="宋体"/>
                <w:sz w:val="21"/>
              </w:rPr>
              <w:t>，道路长度</w:t>
            </w:r>
            <w:r>
              <w:rPr>
                <w:rFonts w:ascii="times new roman, times, serif" w:hAnsi="times new roman, times, serif" w:cs="times new roman, times, serif" w:eastAsia="times new roman, times, serif"/>
                <w:sz w:val="21"/>
              </w:rPr>
              <w:t>348.336m</w:t>
            </w:r>
            <w:r>
              <w:rPr>
                <w:rFonts w:ascii="宋体" w:hAnsi="宋体" w:cs="宋体" w:eastAsia="宋体"/>
                <w:sz w:val="21"/>
              </w:rPr>
              <w:t>，城市次干路。以上两个项目包含道路工程、雨水工程、污水工程、给水工程、交通工程、照明工程、电力管沟工程、通信管沟工程等。</w:t>
            </w:r>
          </w:p>
          <w:p>
            <w:pPr>
              <w:pStyle w:val="null3"/>
              <w:ind w:left="630"/>
              <w:jc w:val="both"/>
            </w:pPr>
            <w:r>
              <w:rPr>
                <w:rFonts w:ascii="宋体" w:hAnsi="宋体" w:cs="宋体" w:eastAsia="宋体"/>
                <w:sz w:val="21"/>
                <w:b/>
              </w:rPr>
              <w:t>二、服务内容</w:t>
            </w:r>
          </w:p>
          <w:p>
            <w:pPr>
              <w:pStyle w:val="null3"/>
              <w:ind w:firstLine="420"/>
              <w:jc w:val="both"/>
            </w:pPr>
            <w:r>
              <w:rPr>
                <w:rFonts w:ascii="宋体" w:hAnsi="宋体" w:cs="宋体" w:eastAsia="宋体"/>
                <w:sz w:val="21"/>
              </w:rPr>
              <w:t>西安国家民用航天产业基地三爻路</w:t>
            </w:r>
            <w:r>
              <w:rPr>
                <w:rFonts w:ascii="宋体" w:hAnsi="宋体" w:cs="宋体" w:eastAsia="宋体"/>
                <w:sz w:val="21"/>
              </w:rPr>
              <w:t>(航天北路-共建四路)、三爻堡路(汉口街-航天西路)市政工程监理服务</w:t>
            </w:r>
            <w:r>
              <w:rPr>
                <w:rFonts w:ascii="宋体" w:hAnsi="宋体" w:cs="宋体" w:eastAsia="宋体"/>
                <w:sz w:val="21"/>
              </w:rPr>
              <w:t>；</w:t>
            </w:r>
            <w:r>
              <w:rPr>
                <w:rFonts w:ascii="宋体" w:hAnsi="宋体" w:cs="宋体" w:eastAsia="宋体"/>
                <w:sz w:val="21"/>
              </w:rPr>
              <w:t>受业主委托，通过对工程项目进行监督和管理，确保工程质量、进度、投资等方面达到预期目标，保障业主的利益。</w:t>
            </w:r>
          </w:p>
          <w:p>
            <w:pPr>
              <w:pStyle w:val="null3"/>
              <w:ind w:firstLine="422"/>
              <w:jc w:val="both"/>
            </w:pPr>
            <w:r>
              <w:rPr>
                <w:rFonts w:ascii="宋体" w:hAnsi="宋体" w:cs="宋体" w:eastAsia="宋体"/>
                <w:sz w:val="21"/>
                <w:b/>
              </w:rPr>
              <w:t xml:space="preserve"> </w:t>
            </w:r>
            <w:r>
              <w:rPr>
                <w:rFonts w:ascii="宋体" w:hAnsi="宋体" w:cs="宋体" w:eastAsia="宋体"/>
                <w:sz w:val="21"/>
                <w:b/>
              </w:rPr>
              <w:t>三、</w:t>
            </w:r>
            <w:r>
              <w:rPr>
                <w:rFonts w:ascii="宋体" w:hAnsi="宋体" w:cs="宋体" w:eastAsia="宋体"/>
                <w:sz w:val="21"/>
                <w:b/>
              </w:rPr>
              <w:t>工程监理标准</w:t>
            </w:r>
          </w:p>
          <w:p>
            <w:pPr>
              <w:pStyle w:val="null3"/>
              <w:ind w:firstLine="630"/>
              <w:jc w:val="both"/>
            </w:pPr>
            <w:r>
              <w:rPr>
                <w:rFonts w:ascii="宋体" w:hAnsi="宋体" w:cs="宋体" w:eastAsia="宋体"/>
                <w:sz w:val="21"/>
              </w:rPr>
              <w:t>技术规范</w:t>
            </w:r>
          </w:p>
          <w:p>
            <w:pPr>
              <w:pStyle w:val="null3"/>
              <w:ind w:firstLine="420"/>
              <w:jc w:val="both"/>
            </w:pPr>
            <w:r>
              <w:rPr>
                <w:rFonts w:ascii="宋体" w:hAnsi="宋体" w:cs="宋体" w:eastAsia="宋体"/>
                <w:sz w:val="21"/>
              </w:rPr>
              <w:t>（一）本工程的监理人在监理中必须遵守《建设工程监理规范（</w:t>
            </w:r>
            <w:r>
              <w:rPr>
                <w:rFonts w:ascii="宋体" w:hAnsi="宋体" w:cs="宋体" w:eastAsia="宋体"/>
                <w:sz w:val="21"/>
              </w:rPr>
              <w:t>GB50319-2013）》的规定，必须使用中华人民共和国《工程建设标准强制性条文》规定的标准、规范，以及国家、陕西省和项目所在地关于工程监理、施工方面现行标准、规范、规程和办法等文件规定，包括并不限于：</w:t>
            </w:r>
          </w:p>
          <w:p>
            <w:pPr>
              <w:pStyle w:val="null3"/>
              <w:ind w:firstLine="420"/>
              <w:jc w:val="both"/>
            </w:pPr>
            <w:r>
              <w:rPr>
                <w:rFonts w:ascii="宋体" w:hAnsi="宋体" w:cs="宋体" w:eastAsia="宋体"/>
                <w:sz w:val="21"/>
              </w:rPr>
              <w:t>1、国家和陕西省关于工程建设的现行政策、法规；2、建设单位和监理单位签订的工程建设监理合同；3、国家现行的勘察、设计规范和规程、《建设工程质量管理条例》、《建设工程安全生产管理条例》、《建设工程监理规范》、《建筑工程施工及验收规范》、《工程建设标准强制性条文》、《工程质量检验评定标准》等有关标准；4、国家建设部、计委印发的《工程建设监理规定》和陕西省建设厅印发的《陕西省建设监理暂行办法》；5、上级批准的建设项目、建设计划、规划、设计文件及其它批文；6、正式施工图纸、技术文件及有关的工程设计变更；7、国家或地方相关的预算定额、计价规范及有关工程造价管理办法和规定；8、委托人依法与设计单位、施工单位、材料设备供应商签订的合同及协议等；9、该工程的地质勘探、设计招投标和施工招投标文件；10、GB/T19001-2000质量保证标准等。</w:t>
            </w:r>
          </w:p>
          <w:p>
            <w:pPr>
              <w:pStyle w:val="null3"/>
              <w:ind w:firstLine="420"/>
              <w:jc w:val="both"/>
            </w:pPr>
            <w:r>
              <w:rPr>
                <w:rFonts w:ascii="宋体" w:hAnsi="宋体" w:cs="宋体" w:eastAsia="宋体"/>
                <w:sz w:val="21"/>
              </w:rPr>
              <w:t>（二）监理人在监理工作中使用或参考上述标准、规范以外的技术标准、规范时，应征得业主或业主指定的代表人的同意。如上述标准及规范要求有出入则以较严格者为准。</w:t>
            </w:r>
          </w:p>
          <w:p>
            <w:pPr>
              <w:pStyle w:val="null3"/>
              <w:ind w:firstLine="422"/>
              <w:jc w:val="both"/>
            </w:pPr>
            <w:r>
              <w:rPr>
                <w:rFonts w:ascii="宋体" w:hAnsi="宋体" w:cs="宋体" w:eastAsia="宋体"/>
                <w:sz w:val="21"/>
                <w:b/>
              </w:rPr>
              <w:t>四</w:t>
            </w:r>
            <w:r>
              <w:rPr>
                <w:rFonts w:ascii="宋体" w:hAnsi="宋体" w:cs="宋体" w:eastAsia="宋体"/>
                <w:sz w:val="21"/>
                <w:b/>
              </w:rPr>
              <w:t>、监理工作要求</w:t>
            </w:r>
          </w:p>
          <w:p>
            <w:pPr>
              <w:pStyle w:val="null3"/>
              <w:ind w:firstLine="420"/>
              <w:jc w:val="both"/>
            </w:pPr>
            <w:r>
              <w:rPr>
                <w:rFonts w:ascii="宋体" w:hAnsi="宋体" w:cs="宋体" w:eastAsia="宋体"/>
                <w:sz w:val="21"/>
              </w:rPr>
              <w:t>（一）监理服务要求</w:t>
            </w:r>
          </w:p>
          <w:p>
            <w:pPr>
              <w:pStyle w:val="null3"/>
              <w:ind w:firstLine="420"/>
              <w:jc w:val="both"/>
            </w:pPr>
            <w:r>
              <w:rPr>
                <w:rFonts w:ascii="宋体" w:hAnsi="宋体" w:cs="宋体" w:eastAsia="宋体"/>
                <w:sz w:val="21"/>
              </w:rPr>
              <w:t>监理人应依据项目合同条件的规定，通过有效地计划、组织和协调，监督相关各方履行各自的职责，如实地记录、作证，以实施质量控制为主</w:t>
            </w:r>
            <w:r>
              <w:rPr>
                <w:rFonts w:ascii="宋体" w:hAnsi="宋体" w:cs="宋体" w:eastAsia="宋体"/>
                <w:sz w:val="21"/>
              </w:rPr>
              <w:t>,进行进度、投资控制、安全文明及合同管理，使本项目达到</w:t>
            </w:r>
            <w:r>
              <w:rPr>
                <w:rFonts w:ascii="宋体" w:hAnsi="宋体" w:cs="宋体" w:eastAsia="宋体"/>
                <w:sz w:val="21"/>
              </w:rPr>
              <w:t>采购</w:t>
            </w:r>
            <w:r>
              <w:rPr>
                <w:rFonts w:ascii="宋体" w:hAnsi="宋体" w:cs="宋体" w:eastAsia="宋体"/>
                <w:sz w:val="21"/>
              </w:rPr>
              <w:t>文件规定的工程标准和按期完工。</w:t>
            </w:r>
          </w:p>
          <w:p>
            <w:pPr>
              <w:pStyle w:val="null3"/>
              <w:ind w:firstLine="420"/>
              <w:jc w:val="both"/>
            </w:pPr>
            <w:r>
              <w:rPr>
                <w:rFonts w:ascii="宋体" w:hAnsi="宋体" w:cs="宋体" w:eastAsia="宋体"/>
                <w:sz w:val="21"/>
              </w:rPr>
              <w:t>（二）对监理人员的基本要求</w:t>
            </w:r>
          </w:p>
          <w:p>
            <w:pPr>
              <w:pStyle w:val="null3"/>
              <w:ind w:firstLine="420"/>
              <w:jc w:val="both"/>
            </w:pPr>
            <w:r>
              <w:rPr>
                <w:rFonts w:ascii="宋体" w:hAnsi="宋体" w:cs="宋体" w:eastAsia="宋体"/>
                <w:sz w:val="21"/>
              </w:rPr>
              <w:t>1、监理单位派驻现场总监理工程师、各专业监理工程师须为投标单位在编在职的注册监理工程师（监理员），各个岗位应专人担任，不得兼职。</w:t>
            </w:r>
          </w:p>
          <w:p>
            <w:pPr>
              <w:pStyle w:val="null3"/>
              <w:ind w:firstLine="420"/>
              <w:jc w:val="both"/>
            </w:pPr>
            <w:r>
              <w:rPr>
                <w:rFonts w:ascii="宋体" w:hAnsi="宋体" w:cs="宋体" w:eastAsia="宋体"/>
                <w:sz w:val="21"/>
              </w:rPr>
              <w:t>2、监理人员数量及工种应满足本工程监理工作需要，关键部位及工序应保证旁站监理。</w:t>
            </w:r>
          </w:p>
          <w:p>
            <w:pPr>
              <w:pStyle w:val="null3"/>
              <w:ind w:firstLine="420"/>
              <w:jc w:val="both"/>
            </w:pPr>
            <w:r>
              <w:rPr>
                <w:rFonts w:ascii="宋体" w:hAnsi="宋体" w:cs="宋体" w:eastAsia="宋体"/>
                <w:sz w:val="21"/>
              </w:rPr>
              <w:t>3、</w:t>
            </w:r>
            <w:r>
              <w:rPr>
                <w:rFonts w:ascii="宋体" w:hAnsi="宋体" w:cs="宋体" w:eastAsia="宋体"/>
                <w:sz w:val="21"/>
              </w:rPr>
              <w:t>总监理工程师必须由具有三年以上监理工作经验的注册监理工程师担任。拟投标的注册监理工程师只能在施工期间承担本工程项目总监理工程师。</w:t>
            </w:r>
          </w:p>
          <w:p>
            <w:pPr>
              <w:pStyle w:val="null3"/>
              <w:ind w:firstLine="420"/>
              <w:jc w:val="both"/>
            </w:pPr>
            <w:r>
              <w:rPr>
                <w:rFonts w:ascii="宋体" w:hAnsi="宋体" w:cs="宋体" w:eastAsia="宋体"/>
                <w:sz w:val="21"/>
              </w:rPr>
              <w:t>4、监理单位及其所属人员必须公正客观、清正廉洁，及时准确、严格履行职责，实施巡视及平行检查、核验，实行旁站制度，及时验收、签证。所有监理事项均实行即签、日核、周清、月结资料管理制度。及时收集和完善所有监理资料，并妥善安全保管。</w:t>
            </w:r>
          </w:p>
          <w:p>
            <w:pPr>
              <w:pStyle w:val="null3"/>
              <w:ind w:firstLine="420"/>
              <w:jc w:val="both"/>
            </w:pPr>
            <w:r>
              <w:rPr>
                <w:rFonts w:ascii="宋体" w:hAnsi="宋体" w:cs="宋体" w:eastAsia="宋体"/>
                <w:sz w:val="21"/>
              </w:rPr>
              <w:t>5、监理人员应有良好的职业道德和严谨的工作作风，在监理过程中不得向被监理方介绍指定分包商和供应商。</w:t>
            </w:r>
          </w:p>
          <w:p>
            <w:pPr>
              <w:pStyle w:val="null3"/>
              <w:ind w:firstLine="420"/>
              <w:jc w:val="both"/>
            </w:pPr>
            <w:r>
              <w:rPr>
                <w:rFonts w:ascii="宋体" w:hAnsi="宋体" w:cs="宋体" w:eastAsia="宋体"/>
                <w:sz w:val="21"/>
              </w:rPr>
              <w:t>6、派驻现场的监理组人员名单须经</w:t>
            </w:r>
            <w:r>
              <w:rPr>
                <w:rFonts w:ascii="宋体" w:hAnsi="宋体" w:cs="宋体" w:eastAsia="宋体"/>
                <w:sz w:val="21"/>
              </w:rPr>
              <w:t>采购人</w:t>
            </w:r>
            <w:r>
              <w:rPr>
                <w:rFonts w:ascii="宋体" w:hAnsi="宋体" w:cs="宋体" w:eastAsia="宋体"/>
                <w:sz w:val="21"/>
              </w:rPr>
              <w:t>确认，未经</w:t>
            </w:r>
            <w:r>
              <w:rPr>
                <w:rFonts w:ascii="宋体" w:hAnsi="宋体" w:cs="宋体" w:eastAsia="宋体"/>
                <w:sz w:val="21"/>
              </w:rPr>
              <w:t>采购人</w:t>
            </w:r>
            <w:r>
              <w:rPr>
                <w:rFonts w:ascii="宋体" w:hAnsi="宋体" w:cs="宋体" w:eastAsia="宋体"/>
                <w:sz w:val="21"/>
              </w:rPr>
              <w:t>书面批准不得更换。</w:t>
            </w:r>
          </w:p>
          <w:p>
            <w:pPr>
              <w:pStyle w:val="null3"/>
              <w:ind w:firstLine="420"/>
              <w:jc w:val="both"/>
            </w:pPr>
            <w:r>
              <w:rPr>
                <w:rFonts w:ascii="宋体" w:hAnsi="宋体" w:cs="宋体" w:eastAsia="宋体"/>
                <w:sz w:val="21"/>
              </w:rPr>
              <w:t>7、总监理工程师必须常驻施工现场，如有不尽其职或虚挂其名的情况，</w:t>
            </w:r>
            <w:r>
              <w:rPr>
                <w:rFonts w:ascii="宋体" w:hAnsi="宋体" w:cs="宋体" w:eastAsia="宋体"/>
                <w:sz w:val="21"/>
              </w:rPr>
              <w:t>采购人</w:t>
            </w:r>
            <w:r>
              <w:rPr>
                <w:rFonts w:ascii="宋体" w:hAnsi="宋体" w:cs="宋体" w:eastAsia="宋体"/>
                <w:sz w:val="21"/>
              </w:rPr>
              <w:t>有权要求调换具有相应资历的人选的权利，直至有权要求监理单位退场并单方面终止合同。</w:t>
            </w:r>
          </w:p>
          <w:p>
            <w:pPr>
              <w:pStyle w:val="null3"/>
              <w:ind w:firstLine="211"/>
              <w:jc w:val="both"/>
            </w:pPr>
            <w:r>
              <w:rPr>
                <w:rFonts w:ascii="宋体" w:hAnsi="宋体" w:cs="宋体" w:eastAsia="宋体"/>
                <w:sz w:val="21"/>
                <w:b/>
              </w:rPr>
              <w:t>五、商务要求</w:t>
            </w:r>
          </w:p>
          <w:p>
            <w:pPr>
              <w:pStyle w:val="null3"/>
              <w:ind w:firstLine="420"/>
              <w:jc w:val="both"/>
            </w:pPr>
            <w:r>
              <w:rPr>
                <w:rFonts w:ascii="宋体" w:hAnsi="宋体" w:cs="宋体" w:eastAsia="宋体"/>
                <w:sz w:val="21"/>
              </w:rPr>
              <w:t>1.</w:t>
            </w:r>
            <w:r>
              <w:rPr>
                <w:rFonts w:ascii="宋体" w:hAnsi="宋体" w:cs="宋体" w:eastAsia="宋体"/>
                <w:sz w:val="21"/>
              </w:rPr>
              <w:t>服务期限</w:t>
            </w:r>
            <w:r>
              <w:rPr>
                <w:rFonts w:ascii="宋体" w:hAnsi="宋体" w:cs="宋体" w:eastAsia="宋体"/>
                <w:sz w:val="21"/>
              </w:rPr>
              <w:t>：</w:t>
            </w:r>
            <w:r>
              <w:rPr>
                <w:rFonts w:ascii="宋体" w:hAnsi="宋体" w:cs="宋体" w:eastAsia="宋体"/>
                <w:sz w:val="21"/>
              </w:rPr>
              <w:t>自合同签订之日起</w:t>
            </w:r>
            <w:r>
              <w:rPr>
                <w:rFonts w:ascii="宋体" w:hAnsi="宋体" w:cs="宋体" w:eastAsia="宋体"/>
                <w:sz w:val="21"/>
              </w:rPr>
              <w:t>8个月。</w:t>
            </w:r>
          </w:p>
          <w:p>
            <w:pPr>
              <w:pStyle w:val="null3"/>
              <w:ind w:firstLine="211"/>
              <w:jc w:val="both"/>
            </w:pPr>
            <w:r>
              <w:rPr>
                <w:b/>
              </w:rPr>
              <w:t xml:space="preserve">  </w:t>
            </w:r>
            <w:r>
              <w:rPr>
                <w:rFonts w:ascii="宋体" w:hAnsi="宋体" w:cs="宋体" w:eastAsia="宋体"/>
                <w:sz w:val="21"/>
              </w:rPr>
              <w:t>2.款项结算：合同签订后支付监理合同总价的百分之二十(20%)预付款，剩余合同款待项目竣工验收合格后，采购方以转账方式一次性结清剩余款项。</w:t>
            </w:r>
          </w:p>
          <w:p>
            <w:pPr>
              <w:pStyle w:val="null3"/>
              <w:ind w:firstLine="211"/>
              <w:jc w:val="both"/>
            </w:pPr>
            <w:r>
              <w:rPr>
                <w:rFonts w:ascii="宋体" w:hAnsi="宋体" w:cs="宋体" w:eastAsia="宋体"/>
                <w:sz w:val="21"/>
                <w:b/>
              </w:rPr>
              <w:t>六、其他</w:t>
            </w:r>
          </w:p>
          <w:p>
            <w:pPr>
              <w:pStyle w:val="null3"/>
              <w:ind w:firstLine="210"/>
              <w:jc w:val="both"/>
            </w:pPr>
            <w:r>
              <w:rPr>
                <w:rFonts w:ascii="宋体" w:hAnsi="宋体" w:cs="宋体" w:eastAsia="宋体"/>
                <w:sz w:val="21"/>
              </w:rPr>
              <w:t>（一）质量验收标准或规范</w:t>
            </w:r>
          </w:p>
          <w:p>
            <w:pPr>
              <w:pStyle w:val="null3"/>
              <w:ind w:firstLine="210"/>
              <w:jc w:val="both"/>
            </w:pPr>
            <w:r>
              <w:rPr>
                <w:rFonts w:ascii="宋体" w:hAnsi="宋体" w:cs="宋体" w:eastAsia="宋体"/>
                <w:sz w:val="21"/>
              </w:rPr>
              <w:t>符合现行的国家标准或国家行政部门颁布的法律法规、规章制度等行业标准。</w:t>
            </w:r>
          </w:p>
          <w:p>
            <w:pPr>
              <w:pStyle w:val="null3"/>
              <w:ind w:firstLine="210"/>
              <w:jc w:val="both"/>
            </w:pPr>
            <w:r>
              <w:rPr>
                <w:rFonts w:ascii="宋体" w:hAnsi="宋体" w:cs="宋体" w:eastAsia="宋体"/>
                <w:sz w:val="21"/>
              </w:rPr>
              <w:t>(二)违约责任</w:t>
            </w:r>
          </w:p>
          <w:p>
            <w:pPr>
              <w:pStyle w:val="null3"/>
              <w:jc w:val="both"/>
            </w:pPr>
            <w:r>
              <w:rPr>
                <w:rFonts w:ascii="宋体" w:hAnsi="宋体" w:cs="宋体" w:eastAsia="宋体"/>
                <w:sz w:val="21"/>
              </w:rPr>
              <w:t>本合同履行过程中，如乙方违约，乙方应按甲方要求采取改正措施，并承担相应责任，甲方有索赔相关费用的权利；如乙方严重违约致使合同目的无法实现的，甲方有权解除、终止合同，乙方应赔偿甲方相应损失。</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服务期限：自合同签订之日起8个月。</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详见合同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合同签订后支付</w:t>
      </w:r>
      <w:r>
        <w:rPr/>
        <w:t xml:space="preserve"> ，达到付款条件起 </w:t>
      </w:r>
      <w:r>
        <w:rPr/>
        <w:t>30</w:t>
      </w:r>
      <w:r>
        <w:rPr/>
        <w:t xml:space="preserve"> 日内，支付合同总金额的 </w:t>
      </w:r>
      <w:r>
        <w:rPr/>
        <w:t>20.00</w:t>
      </w:r>
      <w:r>
        <w:rPr/>
        <w:t>%。</w:t>
      </w:r>
    </w:p>
    <w:p>
      <w:pPr>
        <w:pStyle w:val="null3"/>
      </w:pPr>
      <w:r>
        <w:rPr/>
        <w:t>采购包1：</w:t>
      </w:r>
      <w:r>
        <w:rPr/>
        <w:t xml:space="preserve"> 付款条件说明： </w:t>
      </w:r>
      <w:r>
        <w:rPr/>
        <w:t>剩余合同款待项目竣工验收合格后</w:t>
      </w:r>
      <w:r>
        <w:rPr/>
        <w:t xml:space="preserve"> ，达到付款条件起 </w:t>
      </w:r>
      <w:r>
        <w:rPr/>
        <w:t>30</w:t>
      </w:r>
      <w:r>
        <w:rPr/>
        <w:t xml:space="preserve"> 日内，支付合同总金额的 </w:t>
      </w:r>
      <w:r>
        <w:rPr/>
        <w:t>80.00</w:t>
      </w:r>
      <w:r>
        <w:rPr/>
        <w:t>%。</w:t>
      </w:r>
    </w:p>
    <w:p>
      <w:pPr>
        <w:pStyle w:val="null3"/>
        <w:outlineLvl w:val="3"/>
      </w:pPr>
      <w:r>
        <w:rPr>
          <w:sz w:val="24"/>
          <w:b/>
        </w:rPr>
        <w:t>3.3.6违约责任及解决争议的方法</w:t>
      </w:r>
    </w:p>
    <w:p>
      <w:pPr>
        <w:pStyle w:val="null3"/>
      </w:pPr>
      <w:r>
        <w:rPr/>
        <w:t>采购包1：</w:t>
      </w:r>
    </w:p>
    <w:p>
      <w:pPr>
        <w:pStyle w:val="null3"/>
      </w:pPr>
      <w:r>
        <w:rPr/>
        <w:t>本合同履行过程中，如乙方违约，乙方应按甲方要求采取改正措施，并承担相应责任，甲方有索赔相关费用的权利；如乙方严重违约致使合同目的无法实现的，甲方有权解除、终止合同，乙方应赔偿甲方相应损失。</w:t>
      </w:r>
    </w:p>
    <w:p>
      <w:pPr>
        <w:pStyle w:val="null3"/>
        <w:outlineLvl w:val="2"/>
      </w:pPr>
      <w:r>
        <w:rPr>
          <w:sz w:val="28"/>
          <w:b/>
        </w:rPr>
        <w:t>3.4其他要求</w:t>
      </w:r>
    </w:p>
    <w:p>
      <w:pPr>
        <w:pStyle w:val="null3"/>
      </w:pPr>
      <w:r>
        <w:rPr/>
        <w:t>1、本项目采购内容“西安国家民用航天产业基地三爻路(航天北路-共建四路)、三爻堡路(汉口街-航天西路)市政工程监理服务项目”对应的中小企业划分标准所属行业为：其他未列明行业。2、为顺利推进政府采购电子化交易平台应用工作，供应商需要在线提交所有通过电子化交易平台实施的政府采购项目的响应文件，同时，线下提交纸质响应文件正本壹份、副本壹份。若电子响应文件与纸质响应文件不一致的，以电子响应文件为准；若正本和副本不符，以正本为准。响应文件正、副本分别各自装订成册密封。在封口处加盖供应商公章。 3、递交截止时间同在线递交电子响应文件截止时间一致。 4、线下递交文件地点：西安市高新区沣惠路16号泰华金贸国际8号楼28层。5、各供应商应根据“陕西省财政厅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提供有效存续的企业营业执照/事业单位法人证书/专业服务机构执业许可证/民办非企业单位登记证书，自然人投标的提供其身份证明；</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提供2024年1月至今已缴存任意一个月社会保障资金缴存单据或社保机构开具的社会保险参保缴费证明，依法不需要缴纳社会保障资金的单位应提供相应证明文件；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履行合同所必需的设备和专业技术能力</w:t>
            </w:r>
          </w:p>
        </w:tc>
        <w:tc>
          <w:tcPr>
            <w:tcW w:type="dxa" w:w="3322"/>
          </w:tcPr>
          <w:p>
            <w:pPr>
              <w:pStyle w:val="null3"/>
            </w:pPr>
            <w:r>
              <w:rPr/>
              <w:t>具备履行合同所必需的设备和专业技术能力的证明材料或书面声明；</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采购活动前三年内在经营活动中没有重大违法记录</w:t>
            </w:r>
          </w:p>
        </w:tc>
        <w:tc>
          <w:tcPr>
            <w:tcW w:type="dxa" w:w="3322"/>
          </w:tcPr>
          <w:p>
            <w:pPr>
              <w:pStyle w:val="null3"/>
            </w:pPr>
            <w:r>
              <w:rPr/>
              <w:t>参加政府采购活动前三年内在经营活动中没有重大违法记录的书面声明；</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法律、行政法规规定的其他条件</w:t>
            </w:r>
          </w:p>
        </w:tc>
        <w:tc>
          <w:tcPr>
            <w:tcW w:type="dxa" w:w="3322"/>
          </w:tcPr>
          <w:p>
            <w:pPr>
              <w:pStyle w:val="null3"/>
            </w:pPr>
            <w:r>
              <w:rPr/>
              <w:t>具备法律、行政法规规定的其他条件的证明材料。</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企业资质</w:t>
            </w:r>
          </w:p>
        </w:tc>
        <w:tc>
          <w:tcPr>
            <w:tcW w:type="dxa" w:w="3322"/>
          </w:tcPr>
          <w:p>
            <w:pPr>
              <w:pStyle w:val="null3"/>
            </w:pPr>
            <w:r>
              <w:rPr/>
              <w:t>供应商须具备工程监理综合资质或市政公用工程监理乙级及以上（含乙级）资质。</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项目总监</w:t>
            </w:r>
          </w:p>
        </w:tc>
        <w:tc>
          <w:tcPr>
            <w:tcW w:type="dxa" w:w="3322"/>
          </w:tcPr>
          <w:p>
            <w:pPr>
              <w:pStyle w:val="null3"/>
            </w:pPr>
            <w:r>
              <w:rPr/>
              <w:t>拟派项目总监具备市政公用工程专业国家注册监理工程师执业证书，且在本单位注册，无在建项目。</w:t>
            </w:r>
          </w:p>
        </w:tc>
        <w:tc>
          <w:tcPr>
            <w:tcW w:type="dxa" w:w="1661"/>
          </w:tcPr>
          <w:p>
            <w:pPr>
              <w:pStyle w:val="null3"/>
            </w:pPr>
            <w:r>
              <w:rPr/>
              <w:t>资格证明材料</w:t>
            </w:r>
          </w:p>
        </w:tc>
      </w:tr>
      <w:tr>
        <w:tc>
          <w:tcPr>
            <w:tcW w:type="dxa" w:w="831"/>
          </w:tcPr>
          <w:p>
            <w:pPr>
              <w:pStyle w:val="null3"/>
            </w:pPr>
            <w:r>
              <w:rPr/>
              <w:t>10</w:t>
            </w:r>
          </w:p>
        </w:tc>
        <w:tc>
          <w:tcPr>
            <w:tcW w:type="dxa" w:w="2492"/>
          </w:tcPr>
          <w:p>
            <w:pPr>
              <w:pStyle w:val="null3"/>
            </w:pPr>
            <w:r>
              <w:rPr/>
              <w:t>信息查询</w:t>
            </w:r>
          </w:p>
        </w:tc>
        <w:tc>
          <w:tcPr>
            <w:tcW w:type="dxa" w:w="3322"/>
          </w:tcPr>
          <w:p>
            <w:pPr>
              <w:pStyle w:val="null3"/>
            </w:pPr>
            <w:r>
              <w:rPr/>
              <w:t>供应商基本信息及项目总监的基本信息在“陕西省住房和城乡建设厅（https://js.shaanxi.gov.cn/）可查询。</w:t>
            </w:r>
          </w:p>
        </w:tc>
        <w:tc>
          <w:tcPr>
            <w:tcW w:type="dxa" w:w="1661"/>
          </w:tcPr>
          <w:p>
            <w:pPr>
              <w:pStyle w:val="null3"/>
            </w:pPr>
            <w:r>
              <w:rPr/>
              <w:t>资格证明材料</w:t>
            </w:r>
          </w:p>
        </w:tc>
      </w:tr>
      <w:tr>
        <w:tc>
          <w:tcPr>
            <w:tcW w:type="dxa" w:w="831"/>
          </w:tcPr>
          <w:p>
            <w:pPr>
              <w:pStyle w:val="null3"/>
            </w:pPr>
            <w:r>
              <w:rPr/>
              <w:t>11</w:t>
            </w:r>
          </w:p>
        </w:tc>
        <w:tc>
          <w:tcPr>
            <w:tcW w:type="dxa" w:w="2492"/>
          </w:tcPr>
          <w:p>
            <w:pPr>
              <w:pStyle w:val="null3"/>
            </w:pPr>
            <w:r>
              <w:rPr/>
              <w:t>企业信用查询</w:t>
            </w:r>
          </w:p>
        </w:tc>
        <w:tc>
          <w:tcPr>
            <w:tcW w:type="dxa" w:w="3322"/>
          </w:tcPr>
          <w:p>
            <w:pPr>
              <w:pStyle w:val="null3"/>
            </w:pPr>
            <w:r>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t>资格证明材料</w:t>
            </w:r>
          </w:p>
        </w:tc>
      </w:tr>
      <w:tr>
        <w:tc>
          <w:tcPr>
            <w:tcW w:type="dxa" w:w="831"/>
          </w:tcPr>
          <w:p>
            <w:pPr>
              <w:pStyle w:val="null3"/>
            </w:pPr>
            <w:r>
              <w:rPr/>
              <w:t>12</w:t>
            </w:r>
          </w:p>
        </w:tc>
        <w:tc>
          <w:tcPr>
            <w:tcW w:type="dxa" w:w="2492"/>
          </w:tcPr>
          <w:p>
            <w:pPr>
              <w:pStyle w:val="null3"/>
            </w:pPr>
            <w:r>
              <w:rPr/>
              <w:t>法定代表人授权委托书</w:t>
            </w:r>
          </w:p>
        </w:tc>
        <w:tc>
          <w:tcPr>
            <w:tcW w:type="dxa" w:w="3322"/>
          </w:tcPr>
          <w:p>
            <w:pPr>
              <w:pStyle w:val="null3"/>
            </w:pPr>
            <w:r>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t>资格证明材料</w:t>
            </w:r>
          </w:p>
        </w:tc>
      </w:tr>
      <w:tr>
        <w:tc>
          <w:tcPr>
            <w:tcW w:type="dxa" w:w="831"/>
          </w:tcPr>
          <w:p>
            <w:pPr>
              <w:pStyle w:val="null3"/>
            </w:pPr>
            <w:r>
              <w:rPr/>
              <w:t>13</w:t>
            </w:r>
          </w:p>
        </w:tc>
        <w:tc>
          <w:tcPr>
            <w:tcW w:type="dxa" w:w="2492"/>
          </w:tcPr>
          <w:p>
            <w:pPr>
              <w:pStyle w:val="null3"/>
            </w:pPr>
            <w:r>
              <w:rPr/>
              <w:t>本项目不接受联合体投标，不允许分包</w:t>
            </w:r>
          </w:p>
        </w:tc>
        <w:tc>
          <w:tcPr>
            <w:tcW w:type="dxa" w:w="3322"/>
          </w:tcPr>
          <w:p>
            <w:pPr>
              <w:pStyle w:val="null3"/>
            </w:pPr>
            <w:r>
              <w:rPr/>
              <w:t>本项目不接受联合体投标，不允许分包。供应商提供《非联合体不分包投标声明》，视为独立投标，不分包。</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按照磋商文件规定要求签署、盖章</w:t>
            </w:r>
          </w:p>
        </w:tc>
        <w:tc>
          <w:tcPr>
            <w:tcW w:type="dxa" w:w="1661"/>
          </w:tcPr>
          <w:p>
            <w:pPr>
              <w:pStyle w:val="null3"/>
            </w:pPr>
            <w:r>
              <w:rPr/>
              <w:t>中小企业声明函 承诺书 资格证明材料 报价表 响应文件封面 偏差表 其他资料 残疾人福利性单位声明函 磋商报价一览表及报价明细表 服务方案 标的清单 响应函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w:t>
            </w:r>
          </w:p>
        </w:tc>
        <w:tc>
          <w:tcPr>
            <w:tcW w:type="dxa" w:w="1661"/>
          </w:tcPr>
          <w:p>
            <w:pPr>
              <w:pStyle w:val="null3"/>
            </w:pPr>
            <w:r>
              <w:rPr/>
              <w:t>磋商报价一览表及报价明细表 标的清单 报价表</w:t>
            </w:r>
          </w:p>
        </w:tc>
      </w:tr>
      <w:tr>
        <w:tc>
          <w:tcPr>
            <w:tcW w:type="dxa" w:w="831"/>
          </w:tcPr>
          <w:p>
            <w:pPr>
              <w:pStyle w:val="null3"/>
            </w:pPr>
            <w:r>
              <w:rPr/>
              <w:t>4</w:t>
            </w:r>
          </w:p>
        </w:tc>
        <w:tc>
          <w:tcPr>
            <w:tcW w:type="dxa" w:w="2492"/>
          </w:tcPr>
          <w:p>
            <w:pPr>
              <w:pStyle w:val="null3"/>
            </w:pPr>
            <w:r>
              <w:rPr/>
              <w:t>磋商响应文件内容</w:t>
            </w:r>
          </w:p>
        </w:tc>
        <w:tc>
          <w:tcPr>
            <w:tcW w:type="dxa" w:w="3322"/>
          </w:tcPr>
          <w:p>
            <w:pPr>
              <w:pStyle w:val="null3"/>
            </w:pPr>
            <w:r>
              <w:rPr/>
              <w:t>磋商响应文件内容齐全、无遗漏</w:t>
            </w:r>
          </w:p>
        </w:tc>
        <w:tc>
          <w:tcPr>
            <w:tcW w:type="dxa" w:w="1661"/>
          </w:tcPr>
          <w:p>
            <w:pPr>
              <w:pStyle w:val="null3"/>
            </w:pPr>
            <w:r>
              <w:rPr/>
              <w:t>中小企业声明函 承诺书 资格证明材料 报价表 响应文件封面 偏差表 其他资料 残疾人福利性单位声明函 磋商报价一览表及报价明细表 服务方案 标的清单 响应函 监狱企业的证明文件</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中小企业声明函 承诺书 资格证明材料 报价表 响应文件封面 偏差表 其他资料 残疾人福利性单位声明函 磋商报价一览表及报价明细表 服务方案 标的清单 响应函 监狱企业的证明文件</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应满足磋商文件中要求的服务期限</w:t>
            </w:r>
          </w:p>
        </w:tc>
        <w:tc>
          <w:tcPr>
            <w:tcW w:type="dxa" w:w="1661"/>
          </w:tcPr>
          <w:p>
            <w:pPr>
              <w:pStyle w:val="null3"/>
            </w:pPr>
            <w:r>
              <w:rPr/>
              <w:t>磋商报价一览表及报价明细表 标的清单 报价表</w:t>
            </w:r>
          </w:p>
        </w:tc>
      </w:tr>
      <w:tr>
        <w:tc>
          <w:tcPr>
            <w:tcW w:type="dxa" w:w="831"/>
          </w:tcPr>
          <w:p>
            <w:pPr>
              <w:pStyle w:val="null3"/>
            </w:pPr>
            <w:r>
              <w:rPr/>
              <w:t>7</w:t>
            </w:r>
          </w:p>
        </w:tc>
        <w:tc>
          <w:tcPr>
            <w:tcW w:type="dxa" w:w="2492"/>
          </w:tcPr>
          <w:p>
            <w:pPr>
              <w:pStyle w:val="null3"/>
            </w:pPr>
            <w:r>
              <w:rPr/>
              <w:t>响应有效期</w:t>
            </w:r>
          </w:p>
        </w:tc>
        <w:tc>
          <w:tcPr>
            <w:tcW w:type="dxa" w:w="3322"/>
          </w:tcPr>
          <w:p>
            <w:pPr>
              <w:pStyle w:val="null3"/>
            </w:pPr>
            <w:r>
              <w:rPr/>
              <w:t>响应有效期满足磋商文件要求</w:t>
            </w:r>
          </w:p>
        </w:tc>
        <w:tc>
          <w:tcPr>
            <w:tcW w:type="dxa" w:w="1661"/>
          </w:tcPr>
          <w:p>
            <w:pPr>
              <w:pStyle w:val="null3"/>
            </w:pPr>
            <w:r>
              <w:rPr/>
              <w:t>资格证明材料 响应函</w:t>
            </w:r>
          </w:p>
        </w:tc>
      </w:tr>
      <w:tr>
        <w:tc>
          <w:tcPr>
            <w:tcW w:type="dxa" w:w="831"/>
          </w:tcPr>
          <w:p>
            <w:pPr>
              <w:pStyle w:val="null3"/>
            </w:pPr>
            <w:r>
              <w:rPr/>
              <w:t>8</w:t>
            </w:r>
          </w:p>
        </w:tc>
        <w:tc>
          <w:tcPr>
            <w:tcW w:type="dxa" w:w="2492"/>
          </w:tcPr>
          <w:p>
            <w:pPr>
              <w:pStyle w:val="null3"/>
            </w:pPr>
            <w:r>
              <w:rPr/>
              <w:t>报价有效性</w:t>
            </w:r>
          </w:p>
        </w:tc>
        <w:tc>
          <w:tcPr>
            <w:tcW w:type="dxa" w:w="3322"/>
          </w:tcPr>
          <w:p>
            <w:pPr>
              <w:pStyle w:val="null3"/>
            </w:pPr>
            <w:r>
              <w:rPr/>
              <w:t>报价未超过磋商文件中规定的采购预算金额或最高限价。</w:t>
            </w:r>
          </w:p>
        </w:tc>
        <w:tc>
          <w:tcPr>
            <w:tcW w:type="dxa" w:w="1661"/>
          </w:tcPr>
          <w:p>
            <w:pPr>
              <w:pStyle w:val="null3"/>
            </w:pPr>
            <w:r>
              <w:rPr/>
              <w:t>磋商报价一览表及报价明细表 标的清单 报价表</w:t>
            </w:r>
          </w:p>
        </w:tc>
      </w:tr>
      <w:tr>
        <w:tc>
          <w:tcPr>
            <w:tcW w:type="dxa" w:w="831"/>
          </w:tcPr>
          <w:p>
            <w:pPr>
              <w:pStyle w:val="null3"/>
            </w:pPr>
            <w:r>
              <w:rPr/>
              <w:t>9</w:t>
            </w:r>
          </w:p>
        </w:tc>
        <w:tc>
          <w:tcPr>
            <w:tcW w:type="dxa" w:w="2492"/>
          </w:tcPr>
          <w:p>
            <w:pPr>
              <w:pStyle w:val="null3"/>
            </w:pPr>
            <w:r>
              <w:rPr/>
              <w:t>实质性条款</w:t>
            </w:r>
          </w:p>
        </w:tc>
        <w:tc>
          <w:tcPr>
            <w:tcW w:type="dxa" w:w="3322"/>
          </w:tcPr>
          <w:p>
            <w:pPr>
              <w:pStyle w:val="null3"/>
            </w:pPr>
            <w:r>
              <w:rPr/>
              <w:t>满足本磋商文件中的实质性条款（服务期限、服务地点、付款方式）要求</w:t>
            </w:r>
          </w:p>
        </w:tc>
        <w:tc>
          <w:tcPr>
            <w:tcW w:type="dxa" w:w="1661"/>
          </w:tcPr>
          <w:p>
            <w:pPr>
              <w:pStyle w:val="null3"/>
            </w:pPr>
            <w:r>
              <w:rPr/>
              <w:t>偏差表 磋商报价一览表及报价明细表 标的清单 报价表</w:t>
            </w:r>
          </w:p>
        </w:tc>
      </w:tr>
      <w:tr>
        <w:tc>
          <w:tcPr>
            <w:tcW w:type="dxa" w:w="831"/>
          </w:tcPr>
          <w:p>
            <w:pPr>
              <w:pStyle w:val="null3"/>
            </w:pPr>
            <w:r>
              <w:rPr/>
              <w:t>10</w:t>
            </w:r>
          </w:p>
        </w:tc>
        <w:tc>
          <w:tcPr>
            <w:tcW w:type="dxa" w:w="2492"/>
          </w:tcPr>
          <w:p>
            <w:pPr>
              <w:pStyle w:val="null3"/>
            </w:pPr>
            <w:r>
              <w:rPr/>
              <w:t>其他情形</w:t>
            </w:r>
          </w:p>
        </w:tc>
        <w:tc>
          <w:tcPr>
            <w:tcW w:type="dxa" w:w="3322"/>
          </w:tcPr>
          <w:p>
            <w:pPr>
              <w:pStyle w:val="null3"/>
            </w:pPr>
            <w:r>
              <w:rPr/>
              <w:t>无法律、规章、规范性文件和磋商文件规定的其他无效情形</w:t>
            </w:r>
          </w:p>
        </w:tc>
        <w:tc>
          <w:tcPr>
            <w:tcW w:type="dxa" w:w="1661"/>
          </w:tcPr>
          <w:p>
            <w:pPr>
              <w:pStyle w:val="null3"/>
            </w:pPr>
            <w:r>
              <w:rPr/>
              <w:t>中小企业声明函 承诺书 资格证明材料 报价表 响应文件封面 偏差表 其他资料 残疾人福利性单位声明函 磋商报价一览表及报价明细表 服务方案 标的清单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监理工作内容、目标和依据</w:t>
            </w:r>
          </w:p>
        </w:tc>
        <w:tc>
          <w:tcPr>
            <w:tcW w:type="dxa" w:w="2492"/>
          </w:tcPr>
          <w:p>
            <w:pPr>
              <w:pStyle w:val="null3"/>
            </w:pPr>
            <w:r>
              <w:rPr/>
              <w:t>针对供应商提供的监理工作内容、目标和依据进行评审。 监理工作内容完整、目标明确、依据合理计(7-10]分；监理工作内容基本完整、目标较明确、依据不合理计(3-7]分；监理工作内容空泛无相关依据计[0-3]分。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监理工作程序、方法和手段</w:t>
            </w:r>
          </w:p>
        </w:tc>
        <w:tc>
          <w:tcPr>
            <w:tcW w:type="dxa" w:w="2492"/>
          </w:tcPr>
          <w:p>
            <w:pPr>
              <w:pStyle w:val="null3"/>
            </w:pPr>
            <w:r>
              <w:rPr/>
              <w:t>针对供应商提供的监理工作程序、方法和手段进行评审。 监理程序合规、方法先进合理、手段有效计(5-8]分；监理程序基本合规、可行性一般计(3-5]分；监理程序未合规、可行性差计[0-3]分。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监理机构设置、组成、岗位职责</w:t>
            </w:r>
          </w:p>
        </w:tc>
        <w:tc>
          <w:tcPr>
            <w:tcW w:type="dxa" w:w="2492"/>
          </w:tcPr>
          <w:p>
            <w:pPr>
              <w:pStyle w:val="null3"/>
            </w:pPr>
            <w:r>
              <w:rPr/>
              <w:t>针对供应商提供的本项目监理机构设置、组成人员名单，监理人员岗位职责进行评审。 整体人员配备合理、职责分明、业务素质过硬，能完全保证项目顺利实施的计(6-9]分；整体人员配备较为合理、职责基本明确、业务素质一般计(3-6]分； 整体人员配备欠缺合理性、职责不清、业务素质较差，不能保证项目顺利实施的计[0-3]分。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工作计划</w:t>
            </w:r>
          </w:p>
        </w:tc>
        <w:tc>
          <w:tcPr>
            <w:tcW w:type="dxa" w:w="2492"/>
          </w:tcPr>
          <w:p>
            <w:pPr>
              <w:pStyle w:val="null3"/>
            </w:pPr>
            <w:r>
              <w:rPr/>
              <w:t>针对供应商提供的本项目监理人员进场的工作计划进行评审。 进场工作计划全面具体、科学合理、可行性高的计(5-7]分；进场工作计划不够具体、可行性一般计(3-5]分；进场工作计划不全面、欠缺科学合理性、可行性差计[0-3]分。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资金、进度、环境控制保障措施</w:t>
            </w:r>
          </w:p>
        </w:tc>
        <w:tc>
          <w:tcPr>
            <w:tcW w:type="dxa" w:w="2492"/>
          </w:tcPr>
          <w:p>
            <w:pPr>
              <w:pStyle w:val="null3"/>
            </w:pPr>
            <w:r>
              <w:rPr/>
              <w:t>针对供应商提供的资金、进度、环境控制的保障措施进行评审。 保障措施全面具体、科学合理、可操作和可行性强的计(5-7]分；保障措施不够全面、可操作和可行性一般计(3-5]分；保障措施简单、合理性差计[0-3]分。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组织协调</w:t>
            </w:r>
          </w:p>
        </w:tc>
        <w:tc>
          <w:tcPr>
            <w:tcW w:type="dxa" w:w="2492"/>
          </w:tcPr>
          <w:p>
            <w:pPr>
              <w:pStyle w:val="null3"/>
            </w:pPr>
            <w:r>
              <w:rPr/>
              <w:t>针对供应商提供的组织协调内容及措施进行评审。 组织协调内容及措施全面具体、科学合理、针对性强的计(3-6]分；未提供或提供的组织协调内容及措施完全脱离项目实际的计[0-3]分。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监理工作重、难点分析及对策</w:t>
            </w:r>
          </w:p>
        </w:tc>
        <w:tc>
          <w:tcPr>
            <w:tcW w:type="dxa" w:w="2492"/>
          </w:tcPr>
          <w:p>
            <w:pPr>
              <w:pStyle w:val="null3"/>
            </w:pPr>
            <w:r>
              <w:rPr/>
              <w:t>针对监理工作重、难点分析及对策进行评审。 重、难点描述说明与实际情况符合、描述详尽、并且有对应的解决措施对策，解决对策针对性强、科学合理、可行的计(3-6]分；未提供或重点难点分析脱离项目实际的计[0-3]分。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造价审核方案</w:t>
            </w:r>
          </w:p>
        </w:tc>
        <w:tc>
          <w:tcPr>
            <w:tcW w:type="dxa" w:w="2492"/>
          </w:tcPr>
          <w:p>
            <w:pPr>
              <w:pStyle w:val="null3"/>
            </w:pPr>
            <w:r>
              <w:rPr/>
              <w:t>针对供应商提供的造价审核方案进行评审。 方案全面具体、科学合理、针对性强计(3-6]分；方案空泛针对性一般计[0-3]分。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安全文明控制措施</w:t>
            </w:r>
          </w:p>
        </w:tc>
        <w:tc>
          <w:tcPr>
            <w:tcW w:type="dxa" w:w="2492"/>
          </w:tcPr>
          <w:p>
            <w:pPr>
              <w:pStyle w:val="null3"/>
            </w:pPr>
            <w:r>
              <w:rPr/>
              <w:t>针对供应商提供的安全文明施工控制措施进行评审。 安全文明施工控制措施完善、合理、可行性强计(3-6]分；安全文明施工控制措施简单、可行性一般计[0-3]分。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合同、信息管理措施和方法</w:t>
            </w:r>
          </w:p>
        </w:tc>
        <w:tc>
          <w:tcPr>
            <w:tcW w:type="dxa" w:w="2492"/>
          </w:tcPr>
          <w:p>
            <w:pPr>
              <w:pStyle w:val="null3"/>
            </w:pPr>
            <w:r>
              <w:rPr/>
              <w:t>针对供应商提供的合同管理、信息管理措施进行评审。 管理措施完善、合理、可行计(3-6]分；管理措施可行性一般计[0-3]分。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服务质量保证</w:t>
            </w:r>
          </w:p>
        </w:tc>
        <w:tc>
          <w:tcPr>
            <w:tcW w:type="dxa" w:w="2492"/>
          </w:tcPr>
          <w:p>
            <w:pPr>
              <w:pStyle w:val="null3"/>
            </w:pPr>
            <w:r>
              <w:rPr/>
              <w:t>针对供应商提供的问题处理时限，现场监理服务质量保证措施等进行评审。 问题处理及时、解决对策可行、服务质量有保证的计(6-9]分；问题处理较为及时、解决对策可行性一般、服务质量基本有保证的计(3-6]分；问题处理不及时、服务质量无保证的计[0-3]分。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供应商提供2021年1月1日至今（以合同签订时间为准）类似项目业绩，业绩以合同为依据，每提供一份业绩证明材料计2.5分，满分10分。（备注：供应商响应文件中提供合同复印件加盖供应商公章。）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磋商报价一览表及报价明细表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详见附件：磋商报价一览表及报价明细表</w:t>
      </w:r>
    </w:p>
    <w:p>
      <w:pPr>
        <w:pStyle w:val="null3"/>
        <w:ind w:firstLine="960"/>
      </w:pPr>
      <w:r>
        <w:rPr/>
        <w:t>详见附件：偏差表</w:t>
      </w:r>
    </w:p>
    <w:p>
      <w:pPr>
        <w:pStyle w:val="null3"/>
        <w:ind w:firstLine="960"/>
      </w:pPr>
      <w:r>
        <w:rPr/>
        <w:t>详见附件：承诺书</w:t>
      </w:r>
    </w:p>
    <w:p>
      <w:pPr>
        <w:pStyle w:val="null3"/>
        <w:ind w:firstLine="960"/>
      </w:pPr>
      <w:r>
        <w:rPr/>
        <w:t>详见附件：资格证明材料</w:t>
      </w:r>
    </w:p>
    <w:p>
      <w:pPr>
        <w:pStyle w:val="null3"/>
        <w:ind w:firstLine="960"/>
      </w:pPr>
      <w:r>
        <w:rPr/>
        <w:t>详见附件：服务方案</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