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1BE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第一次磋商报价表</w:t>
      </w:r>
    </w:p>
    <w:tbl>
      <w:tblPr>
        <w:tblStyle w:val="15"/>
        <w:tblW w:w="8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2F1B1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2415" w:type="dxa"/>
            <w:vAlign w:val="center"/>
          </w:tcPr>
          <w:p w14:paraId="4319A62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737FB65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B9FE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15" w:type="dxa"/>
            <w:vAlign w:val="center"/>
          </w:tcPr>
          <w:p w14:paraId="16295D2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1A0655B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A1A1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2415" w:type="dxa"/>
            <w:vAlign w:val="center"/>
          </w:tcPr>
          <w:p w14:paraId="7BC1F6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hAnsi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sz w:val="24"/>
                <w:highlight w:val="none"/>
                <w:lang w:val="en-US" w:eastAsia="zh-CN"/>
              </w:rPr>
              <w:t>磋商总报价</w:t>
            </w:r>
          </w:p>
          <w:p w14:paraId="13CE04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（</w:t>
            </w:r>
            <w:r>
              <w:rPr>
                <w:rFonts w:hint="eastAsia" w:hAnsi="宋体" w:cs="宋体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）</w:t>
            </w:r>
          </w:p>
        </w:tc>
        <w:tc>
          <w:tcPr>
            <w:tcW w:w="6496" w:type="dxa"/>
            <w:vAlign w:val="center"/>
          </w:tcPr>
          <w:p w14:paraId="6D4EC724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 </w:t>
            </w:r>
          </w:p>
          <w:p w14:paraId="573D7A5E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 </w:t>
            </w:r>
          </w:p>
        </w:tc>
      </w:tr>
      <w:tr w14:paraId="6D83B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415" w:type="dxa"/>
            <w:vAlign w:val="center"/>
          </w:tcPr>
          <w:p w14:paraId="1E10B8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服务期</w:t>
            </w:r>
          </w:p>
        </w:tc>
        <w:tc>
          <w:tcPr>
            <w:tcW w:w="6496" w:type="dxa"/>
            <w:vAlign w:val="center"/>
          </w:tcPr>
          <w:p w14:paraId="6041F744">
            <w:pPr>
              <w:spacing w:line="360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37838326">
      <w:pPr>
        <w:widowControl/>
        <w:spacing w:line="360" w:lineRule="auto"/>
        <w:rPr>
          <w:rFonts w:hint="eastAsia" w:ascii="宋体" w:hAnsi="宋体" w:eastAsia="宋体" w:cs="宋体"/>
          <w:b/>
          <w:kern w:val="0"/>
          <w:sz w:val="24"/>
          <w:highlight w:val="none"/>
        </w:rPr>
      </w:pPr>
    </w:p>
    <w:p w14:paraId="3E34810F"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highlight w:val="none"/>
        </w:rPr>
        <w:t>说明：</w:t>
      </w:r>
    </w:p>
    <w:p w14:paraId="46414DA0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1.本表所列各项数据与磋商文件其它地方表述不一致时，以本表为准；</w:t>
      </w:r>
    </w:p>
    <w:p w14:paraId="48A5614D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2.磋商总报价不允许超过最高限价，否则按无效投标处理。</w:t>
      </w:r>
    </w:p>
    <w:p w14:paraId="24F0D760">
      <w:pPr>
        <w:spacing w:line="360" w:lineRule="auto"/>
        <w:ind w:firstLine="1920" w:firstLineChars="800"/>
        <w:jc w:val="left"/>
        <w:rPr>
          <w:rFonts w:hint="eastAsia" w:ascii="宋体" w:hAnsi="宋体" w:eastAsia="宋体" w:cs="宋体"/>
          <w:sz w:val="24"/>
          <w:highlight w:val="none"/>
        </w:rPr>
      </w:pPr>
    </w:p>
    <w:p w14:paraId="71B8C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360" w:firstLineChars="1400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</w:t>
      </w:r>
    </w:p>
    <w:p w14:paraId="25FA3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360" w:firstLineChars="1400"/>
        <w:textAlignment w:val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</w:p>
    <w:p w14:paraId="4DB93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360" w:firstLineChars="1400"/>
        <w:textAlignment w:val="auto"/>
        <w:rPr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</w:t>
      </w:r>
    </w:p>
    <w:p w14:paraId="2AA1C0B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4B90482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2025-01-15T08:27:39Z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