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A9B83">
      <w:pPr>
        <w:pStyle w:val="3"/>
        <w:bidi w:val="0"/>
        <w:spacing w:line="360" w:lineRule="auto"/>
      </w:pPr>
      <w:r>
        <w:rPr>
          <w:rFonts w:hint="eastAsia"/>
        </w:rPr>
        <w:t>第一次磋商报价表</w:t>
      </w:r>
    </w:p>
    <w:tbl>
      <w:tblPr>
        <w:tblStyle w:val="15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3DF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44ACCE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479E8A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0524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5E760AB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18542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3D0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0EB2B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78E33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3F595CB0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62459E2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012D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0C5270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1A9FBC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917E9C7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</w:p>
    <w:p w14:paraId="057058EE">
      <w:pPr>
        <w:widowControl/>
        <w:spacing w:line="360" w:lineRule="auto"/>
        <w:ind w:firstLine="482" w:firstLineChars="2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4210550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79B2B6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最高限价，否则按无效投标处理。</w:t>
      </w:r>
    </w:p>
    <w:p w14:paraId="66DD3F9F">
      <w:pPr>
        <w:spacing w:line="360" w:lineRule="auto"/>
        <w:ind w:firstLine="1920" w:firstLineChars="800"/>
        <w:jc w:val="left"/>
        <w:rPr>
          <w:rFonts w:ascii="仿宋" w:hAnsi="仿宋" w:eastAsia="仿宋" w:cs="仿宋"/>
          <w:sz w:val="24"/>
          <w:highlight w:val="none"/>
        </w:rPr>
      </w:pPr>
    </w:p>
    <w:p w14:paraId="50DEA6DB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8B3EF36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9ECA150">
      <w:pPr>
        <w:spacing w:line="360" w:lineRule="auto"/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3B321E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ED6CBC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2025-10-13T02:43:27Z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