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F0B45">
      <w:pPr>
        <w:spacing w:line="360" w:lineRule="auto"/>
        <w:jc w:val="center"/>
        <w:rPr>
          <w:rFonts w:hint="eastAsia" w:ascii="仿宋" w:hAnsi="仿宋" w:eastAsia="仿宋" w:cs="仿宋"/>
          <w:b/>
          <w:bCs/>
          <w:color w:val="auto"/>
          <w:sz w:val="28"/>
          <w:szCs w:val="28"/>
        </w:rPr>
      </w:pPr>
    </w:p>
    <w:p w14:paraId="74367772">
      <w:pPr>
        <w:spacing w:line="360" w:lineRule="auto"/>
        <w:jc w:val="center"/>
        <w:rPr>
          <w:rFonts w:hint="eastAsia" w:ascii="仿宋" w:hAnsi="仿宋" w:eastAsia="仿宋" w:cs="仿宋"/>
          <w:b/>
          <w:bCs/>
          <w:color w:val="auto"/>
          <w:sz w:val="28"/>
          <w:szCs w:val="28"/>
        </w:rPr>
      </w:pPr>
    </w:p>
    <w:p w14:paraId="37AA4D87">
      <w:pPr>
        <w:spacing w:line="360" w:lineRule="auto"/>
        <w:jc w:val="center"/>
        <w:rPr>
          <w:rFonts w:hint="eastAsia" w:ascii="仿宋" w:hAnsi="仿宋" w:eastAsia="仿宋" w:cs="仿宋"/>
          <w:b/>
          <w:bCs/>
          <w:color w:val="auto"/>
          <w:sz w:val="28"/>
          <w:szCs w:val="28"/>
        </w:rPr>
      </w:pPr>
    </w:p>
    <w:p w14:paraId="45295240">
      <w:pPr>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（本格式条款供甲乙双方签订合同参考，</w:t>
      </w:r>
      <w:r>
        <w:rPr>
          <w:rFonts w:hint="eastAsia" w:ascii="仿宋" w:hAnsi="仿宋" w:eastAsia="仿宋" w:cs="仿宋"/>
          <w:b/>
          <w:bCs/>
          <w:color w:val="auto"/>
          <w:sz w:val="28"/>
          <w:szCs w:val="28"/>
          <w:lang w:val="en-US" w:eastAsia="zh-CN"/>
        </w:rPr>
        <w:t>采购</w:t>
      </w:r>
      <w:r>
        <w:rPr>
          <w:rFonts w:hint="eastAsia" w:ascii="仿宋" w:hAnsi="仿宋" w:eastAsia="仿宋" w:cs="仿宋"/>
          <w:b/>
          <w:bCs/>
          <w:color w:val="auto"/>
          <w:sz w:val="28"/>
          <w:szCs w:val="28"/>
          <w:lang w:eastAsia="zh-CN"/>
        </w:rPr>
        <w:t>人</w:t>
      </w:r>
      <w:r>
        <w:rPr>
          <w:rFonts w:hint="eastAsia" w:ascii="仿宋" w:hAnsi="仿宋" w:eastAsia="仿宋" w:cs="仿宋"/>
          <w:b/>
          <w:bCs/>
          <w:color w:val="auto"/>
          <w:sz w:val="28"/>
          <w:szCs w:val="28"/>
        </w:rPr>
        <w:t>可根据项目的实际情况增减条款和内容）</w:t>
      </w:r>
    </w:p>
    <w:p w14:paraId="6C6322E2">
      <w:pPr>
        <w:spacing w:line="360" w:lineRule="auto"/>
        <w:ind w:firstLine="480"/>
        <w:rPr>
          <w:rFonts w:hint="eastAsia" w:ascii="仿宋" w:hAnsi="仿宋" w:eastAsia="仿宋" w:cs="仿宋"/>
          <w:color w:val="auto"/>
          <w:sz w:val="28"/>
          <w:szCs w:val="28"/>
        </w:rPr>
      </w:pPr>
    </w:p>
    <w:p w14:paraId="38A5AFDA">
      <w:pPr>
        <w:spacing w:line="360" w:lineRule="auto"/>
        <w:ind w:firstLine="480"/>
        <w:rPr>
          <w:rFonts w:hint="eastAsia" w:ascii="仿宋" w:hAnsi="仿宋" w:eastAsia="仿宋" w:cs="仿宋"/>
          <w:color w:val="auto"/>
          <w:sz w:val="28"/>
          <w:szCs w:val="28"/>
        </w:rPr>
      </w:pPr>
    </w:p>
    <w:p w14:paraId="4A4A5D76">
      <w:pPr>
        <w:spacing w:line="360" w:lineRule="auto"/>
        <w:ind w:firstLine="480"/>
        <w:rPr>
          <w:rFonts w:hint="eastAsia" w:ascii="仿宋" w:hAnsi="仿宋" w:eastAsia="仿宋" w:cs="仿宋"/>
          <w:color w:val="auto"/>
          <w:sz w:val="28"/>
          <w:szCs w:val="28"/>
        </w:rPr>
      </w:pPr>
    </w:p>
    <w:p w14:paraId="1B81A2E3">
      <w:pPr>
        <w:pStyle w:val="2"/>
        <w:spacing w:line="360" w:lineRule="auto"/>
        <w:rPr>
          <w:rFonts w:hint="eastAsia" w:ascii="仿宋" w:hAnsi="仿宋" w:eastAsia="仿宋" w:cs="仿宋"/>
          <w:color w:val="auto"/>
          <w:sz w:val="28"/>
          <w:szCs w:val="28"/>
        </w:rPr>
      </w:pPr>
    </w:p>
    <w:p w14:paraId="5E7A21EE">
      <w:pPr>
        <w:spacing w:line="360" w:lineRule="auto"/>
        <w:rPr>
          <w:rFonts w:hint="eastAsia" w:ascii="仿宋" w:hAnsi="仿宋" w:eastAsia="仿宋" w:cs="仿宋"/>
          <w:color w:val="auto"/>
          <w:sz w:val="28"/>
          <w:szCs w:val="28"/>
        </w:rPr>
      </w:pPr>
    </w:p>
    <w:p w14:paraId="209ED6DB">
      <w:pPr>
        <w:pStyle w:val="7"/>
        <w:spacing w:line="360" w:lineRule="auto"/>
        <w:rPr>
          <w:rFonts w:hint="eastAsia" w:ascii="仿宋" w:hAnsi="仿宋" w:eastAsia="仿宋" w:cs="仿宋"/>
          <w:color w:val="auto"/>
          <w:sz w:val="28"/>
          <w:szCs w:val="28"/>
        </w:rPr>
      </w:pPr>
    </w:p>
    <w:p w14:paraId="24DAC608">
      <w:pPr>
        <w:pStyle w:val="7"/>
        <w:spacing w:line="360" w:lineRule="auto"/>
        <w:rPr>
          <w:rFonts w:hint="eastAsia" w:ascii="仿宋" w:hAnsi="仿宋" w:eastAsia="仿宋" w:cs="仿宋"/>
          <w:color w:val="auto"/>
          <w:sz w:val="28"/>
          <w:szCs w:val="28"/>
        </w:rPr>
      </w:pPr>
    </w:p>
    <w:p w14:paraId="29576070">
      <w:pPr>
        <w:pStyle w:val="7"/>
        <w:spacing w:line="360" w:lineRule="auto"/>
        <w:rPr>
          <w:rFonts w:hint="eastAsia" w:ascii="仿宋" w:hAnsi="仿宋" w:eastAsia="仿宋" w:cs="仿宋"/>
          <w:color w:val="auto"/>
          <w:sz w:val="28"/>
          <w:szCs w:val="28"/>
        </w:rPr>
      </w:pPr>
    </w:p>
    <w:p w14:paraId="4ECB7BE8">
      <w:pPr>
        <w:pStyle w:val="7"/>
        <w:spacing w:line="360" w:lineRule="auto"/>
        <w:rPr>
          <w:rFonts w:hint="eastAsia" w:ascii="仿宋" w:hAnsi="仿宋" w:eastAsia="仿宋" w:cs="仿宋"/>
          <w:color w:val="auto"/>
          <w:sz w:val="28"/>
          <w:szCs w:val="28"/>
        </w:rPr>
      </w:pPr>
    </w:p>
    <w:p w14:paraId="4E624B25">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甲方(委托方)：</w:t>
      </w:r>
      <w:r>
        <w:rPr>
          <w:rFonts w:hint="eastAsia" w:ascii="仿宋" w:hAnsi="仿宋" w:eastAsia="仿宋" w:cs="仿宋"/>
          <w:b/>
          <w:color w:val="auto"/>
          <w:kern w:val="0"/>
          <w:sz w:val="28"/>
          <w:szCs w:val="28"/>
          <w:u w:val="single"/>
        </w:rPr>
        <w:t xml:space="preserve"> </w:t>
      </w:r>
      <w:r>
        <w:rPr>
          <w:rFonts w:hint="eastAsia" w:ascii="仿宋" w:hAnsi="仿宋" w:eastAsia="仿宋" w:cs="仿宋"/>
          <w:b/>
          <w:color w:val="auto"/>
          <w:kern w:val="0"/>
          <w:sz w:val="28"/>
          <w:szCs w:val="28"/>
          <w:u w:val="single"/>
          <w:lang w:val="en-US" w:eastAsia="zh-CN"/>
        </w:rPr>
        <w:t xml:space="preserve">                          </w:t>
      </w:r>
      <w:r>
        <w:rPr>
          <w:rFonts w:hint="eastAsia" w:ascii="仿宋" w:hAnsi="仿宋" w:eastAsia="仿宋" w:cs="仿宋"/>
          <w:b/>
          <w:color w:val="auto"/>
          <w:kern w:val="0"/>
          <w:sz w:val="28"/>
          <w:szCs w:val="28"/>
          <w:u w:val="single"/>
        </w:rPr>
        <w:t xml:space="preserve">     </w:t>
      </w:r>
    </w:p>
    <w:p w14:paraId="242D654C">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乙方(受托方)：</w:t>
      </w:r>
      <w:r>
        <w:rPr>
          <w:rFonts w:hint="eastAsia" w:ascii="仿宋" w:hAnsi="仿宋" w:eastAsia="仿宋" w:cs="仿宋"/>
          <w:b/>
          <w:color w:val="auto"/>
          <w:kern w:val="0"/>
          <w:sz w:val="28"/>
          <w:szCs w:val="28"/>
          <w:u w:val="single"/>
        </w:rPr>
        <w:t xml:space="preserve">                                </w:t>
      </w:r>
    </w:p>
    <w:p w14:paraId="2224EFD2">
      <w:pPr>
        <w:spacing w:line="360" w:lineRule="auto"/>
        <w:jc w:val="center"/>
        <w:rPr>
          <w:rFonts w:hint="eastAsia" w:ascii="仿宋" w:hAnsi="仿宋" w:eastAsia="仿宋" w:cs="仿宋"/>
          <w:b/>
          <w:color w:val="auto"/>
          <w:kern w:val="0"/>
          <w:sz w:val="28"/>
          <w:szCs w:val="28"/>
        </w:rPr>
      </w:pPr>
    </w:p>
    <w:p w14:paraId="467BBE9D">
      <w:pPr>
        <w:spacing w:line="360" w:lineRule="auto"/>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二〇二</w:t>
      </w:r>
      <w:r>
        <w:rPr>
          <w:rFonts w:hint="eastAsia" w:ascii="仿宋" w:hAnsi="仿宋" w:eastAsia="仿宋" w:cs="仿宋"/>
          <w:b/>
          <w:color w:val="auto"/>
          <w:kern w:val="0"/>
          <w:sz w:val="28"/>
          <w:szCs w:val="28"/>
          <w:lang w:val="en-US" w:eastAsia="zh-CN"/>
        </w:rPr>
        <w:t>五</w:t>
      </w:r>
      <w:r>
        <w:rPr>
          <w:rFonts w:hint="eastAsia" w:ascii="仿宋" w:hAnsi="仿宋" w:eastAsia="仿宋" w:cs="仿宋"/>
          <w:b/>
          <w:color w:val="auto"/>
          <w:kern w:val="0"/>
          <w:sz w:val="28"/>
          <w:szCs w:val="28"/>
        </w:rPr>
        <w:t>年</w:t>
      </w:r>
      <w:r>
        <w:rPr>
          <w:rFonts w:hint="eastAsia" w:ascii="仿宋" w:hAnsi="仿宋" w:eastAsia="仿宋" w:cs="仿宋"/>
          <w:b/>
          <w:color w:val="auto"/>
          <w:kern w:val="0"/>
          <w:sz w:val="28"/>
          <w:szCs w:val="28"/>
          <w:lang w:val="en-US" w:eastAsia="zh-CN"/>
        </w:rPr>
        <w:t xml:space="preserve">  </w:t>
      </w:r>
      <w:r>
        <w:rPr>
          <w:rFonts w:hint="eastAsia" w:ascii="仿宋" w:hAnsi="仿宋" w:eastAsia="仿宋" w:cs="仿宋"/>
          <w:b/>
          <w:color w:val="auto"/>
          <w:kern w:val="0"/>
          <w:sz w:val="28"/>
          <w:szCs w:val="28"/>
        </w:rPr>
        <w:t>月</w:t>
      </w:r>
    </w:p>
    <w:p w14:paraId="3B916898">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p>
    <w:p w14:paraId="11314CFB">
      <w:pPr>
        <w:pStyle w:val="6"/>
        <w:rPr>
          <w:rFonts w:hint="eastAsia" w:ascii="仿宋" w:hAnsi="仿宋" w:eastAsia="仿宋" w:cs="仿宋"/>
          <w:sz w:val="28"/>
          <w:szCs w:val="28"/>
        </w:rPr>
      </w:pPr>
    </w:p>
    <w:p w14:paraId="1A472D73">
      <w:pPr>
        <w:pStyle w:val="6"/>
        <w:rPr>
          <w:rFonts w:hint="eastAsia" w:ascii="仿宋" w:hAnsi="仿宋" w:eastAsia="仿宋" w:cs="仿宋"/>
          <w:sz w:val="28"/>
          <w:szCs w:val="28"/>
        </w:rPr>
      </w:pPr>
    </w:p>
    <w:p w14:paraId="4EB2E16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14:paraId="228090F7">
      <w:pPr>
        <w:tabs>
          <w:tab w:val="left" w:pos="5040"/>
        </w:tabs>
        <w:spacing w:line="480" w:lineRule="atLeast"/>
        <w:jc w:val="center"/>
        <w:outlineLvl w:val="1"/>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(最终以甲乙双方实际协商所签协议为准)</w:t>
      </w:r>
    </w:p>
    <w:p w14:paraId="46EA500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甲方（采购人）：</w:t>
      </w:r>
    </w:p>
    <w:p w14:paraId="51D2FB0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乙方（中标人）：</w:t>
      </w:r>
    </w:p>
    <w:p w14:paraId="0026B199">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lang w:val="en-US" w:eastAsia="zh-CN"/>
        </w:rPr>
        <w:t>西安市公安局航天分局2025-2026年保洁服务采购项目</w:t>
      </w:r>
      <w:r>
        <w:rPr>
          <w:rStyle w:val="9"/>
          <w:rFonts w:hint="eastAsia" w:asciiTheme="minorEastAsia" w:hAnsiTheme="minorEastAsia" w:eastAsiaTheme="minorEastAsia" w:cstheme="minorEastAsia"/>
          <w:bCs/>
          <w:sz w:val="22"/>
          <w:szCs w:val="22"/>
          <w:highlight w:val="none"/>
        </w:rPr>
        <w:t>，由</w:t>
      </w:r>
      <w:r>
        <w:rPr>
          <w:rStyle w:val="9"/>
          <w:rFonts w:hint="eastAsia" w:asciiTheme="minorEastAsia" w:hAnsiTheme="minorEastAsia" w:eastAsiaTheme="minorEastAsia" w:cstheme="minorEastAsia"/>
          <w:bCs/>
          <w:sz w:val="22"/>
          <w:szCs w:val="22"/>
          <w:highlight w:val="none"/>
          <w:lang w:val="zh-CN"/>
        </w:rPr>
        <w:t>华春建设工程项目管理有限责任公司</w:t>
      </w:r>
      <w:r>
        <w:rPr>
          <w:rStyle w:val="9"/>
          <w:rFonts w:hint="eastAsia" w:asciiTheme="minorEastAsia" w:hAnsiTheme="minorEastAsia" w:eastAsiaTheme="minorEastAsia" w:cstheme="minorEastAsia"/>
          <w:bCs/>
          <w:sz w:val="22"/>
          <w:szCs w:val="22"/>
          <w:highlight w:val="none"/>
        </w:rPr>
        <w:t>组织</w:t>
      </w:r>
      <w:r>
        <w:rPr>
          <w:rStyle w:val="9"/>
          <w:rFonts w:hint="eastAsia" w:asciiTheme="minorEastAsia" w:hAnsiTheme="minorEastAsia" w:eastAsiaTheme="minorEastAsia" w:cstheme="minorEastAsia"/>
          <w:bCs/>
          <w:sz w:val="22"/>
          <w:szCs w:val="22"/>
          <w:highlight w:val="none"/>
          <w:lang w:eastAsia="zh-CN"/>
        </w:rPr>
        <w:t>竞争性磋商</w:t>
      </w:r>
      <w:r>
        <w:rPr>
          <w:rStyle w:val="9"/>
          <w:rFonts w:hint="eastAsia" w:asciiTheme="minorEastAsia" w:hAnsiTheme="minorEastAsia" w:eastAsiaTheme="minorEastAsia" w:cstheme="minorEastAsia"/>
          <w:bCs/>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(以下简称“甲方”)确定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（以下简称“乙方”）为该项目的</w:t>
      </w:r>
      <w:r>
        <w:rPr>
          <w:rStyle w:val="9"/>
          <w:rFonts w:hint="eastAsia" w:asciiTheme="minorEastAsia" w:hAnsiTheme="minorEastAsia" w:eastAsiaTheme="minorEastAsia" w:cstheme="minorEastAsia"/>
          <w:bCs/>
          <w:sz w:val="22"/>
          <w:szCs w:val="22"/>
          <w:highlight w:val="none"/>
          <w:lang w:eastAsia="zh-CN"/>
        </w:rPr>
        <w:t>成交</w:t>
      </w:r>
      <w:r>
        <w:rPr>
          <w:rStyle w:val="9"/>
          <w:rFonts w:hint="eastAsia" w:asciiTheme="minorEastAsia" w:hAnsiTheme="minorEastAsia" w:eastAsiaTheme="minorEastAsia" w:cstheme="minorEastAsia"/>
          <w:bCs/>
          <w:sz w:val="22"/>
          <w:szCs w:val="22"/>
          <w:highlight w:val="none"/>
        </w:rPr>
        <w:t>人。</w:t>
      </w:r>
    </w:p>
    <w:p w14:paraId="34384F28">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依据《中华人民共和国民法典》和《中华人民共和国政府采购法》，经双方协商按下述条款和条件签署本合同。</w:t>
      </w:r>
    </w:p>
    <w:p w14:paraId="7419A45B">
      <w:pPr>
        <w:pStyle w:val="3"/>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0" w:name="_Toc22404"/>
      <w:r>
        <w:rPr>
          <w:rStyle w:val="9"/>
          <w:rFonts w:hint="eastAsia" w:asciiTheme="minorEastAsia" w:hAnsiTheme="minorEastAsia" w:eastAsiaTheme="minorEastAsia" w:cstheme="minorEastAsia"/>
          <w:b/>
          <w:bCs/>
          <w:sz w:val="22"/>
          <w:szCs w:val="22"/>
          <w:highlight w:val="none"/>
        </w:rPr>
        <w:t>一、服务内容：</w:t>
      </w:r>
      <w:bookmarkEnd w:id="0"/>
    </w:p>
    <w:p w14:paraId="26884CE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包括</w:t>
      </w:r>
      <w:r>
        <w:rPr>
          <w:rStyle w:val="9"/>
          <w:rFonts w:hint="eastAsia" w:asciiTheme="minorEastAsia" w:hAnsiTheme="minorEastAsia" w:eastAsiaTheme="minorEastAsia" w:cstheme="minorEastAsia"/>
          <w:bCs/>
          <w:sz w:val="22"/>
          <w:szCs w:val="22"/>
          <w:highlight w:val="none"/>
          <w:lang w:val="en-US" w:eastAsia="zh-CN"/>
        </w:rPr>
        <w:t>西安市公安局航天分局2025-2026年保洁服务采购项目等</w:t>
      </w:r>
      <w:r>
        <w:rPr>
          <w:rStyle w:val="9"/>
          <w:rFonts w:hint="eastAsia" w:asciiTheme="minorEastAsia" w:hAnsiTheme="minorEastAsia" w:eastAsiaTheme="minorEastAsia" w:cstheme="minorEastAsia"/>
          <w:bCs/>
          <w:sz w:val="22"/>
          <w:szCs w:val="22"/>
          <w:highlight w:val="none"/>
        </w:rPr>
        <w:t>相关工作。</w:t>
      </w:r>
    </w:p>
    <w:p w14:paraId="0363986F">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 w:name="_Toc7106"/>
      <w:r>
        <w:rPr>
          <w:rStyle w:val="9"/>
          <w:rFonts w:hint="eastAsia" w:asciiTheme="minorEastAsia" w:hAnsiTheme="minorEastAsia" w:eastAsiaTheme="minorEastAsia" w:cstheme="minorEastAsia"/>
          <w:b/>
          <w:bCs/>
          <w:sz w:val="22"/>
          <w:szCs w:val="22"/>
          <w:highlight w:val="none"/>
        </w:rPr>
        <w:t>二、合同价款</w:t>
      </w:r>
      <w:bookmarkEnd w:id="1"/>
    </w:p>
    <w:tbl>
      <w:tblPr>
        <w:tblStyle w:val="4"/>
        <w:tblW w:w="8937" w:type="dxa"/>
        <w:tblInd w:w="96" w:type="dxa"/>
        <w:tblLayout w:type="fixed"/>
        <w:tblCellMar>
          <w:top w:w="0" w:type="dxa"/>
          <w:left w:w="108" w:type="dxa"/>
          <w:bottom w:w="0" w:type="dxa"/>
          <w:right w:w="108" w:type="dxa"/>
        </w:tblCellMar>
      </w:tblPr>
      <w:tblGrid>
        <w:gridCol w:w="808"/>
        <w:gridCol w:w="2981"/>
        <w:gridCol w:w="1142"/>
        <w:gridCol w:w="1610"/>
        <w:gridCol w:w="1284"/>
        <w:gridCol w:w="1112"/>
      </w:tblGrid>
      <w:tr w14:paraId="664B8E04">
        <w:tblPrEx>
          <w:tblCellMar>
            <w:top w:w="0" w:type="dxa"/>
            <w:left w:w="108" w:type="dxa"/>
            <w:bottom w:w="0" w:type="dxa"/>
            <w:right w:w="108" w:type="dxa"/>
          </w:tblCellMar>
        </w:tblPrEx>
        <w:trPr>
          <w:trHeight w:val="570"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60D2DB74">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bidi="ar"/>
              </w:rPr>
              <w:t>序号</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5F64A35B">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bidi="ar"/>
              </w:rPr>
              <w:t>项目</w:t>
            </w:r>
            <w:r>
              <w:rPr>
                <w:rFonts w:hint="eastAsia" w:ascii="仿宋" w:hAnsi="仿宋" w:eastAsia="仿宋" w:cs="仿宋"/>
                <w:color w:val="000000"/>
                <w:sz w:val="24"/>
                <w:szCs w:val="24"/>
                <w:lang w:eastAsia="zh-CN" w:bidi="ar"/>
              </w:rPr>
              <w:t>（</w:t>
            </w:r>
            <w:r>
              <w:rPr>
                <w:rFonts w:hint="eastAsia" w:ascii="仿宋" w:hAnsi="仿宋" w:eastAsia="仿宋" w:cs="仿宋"/>
                <w:color w:val="000000"/>
                <w:sz w:val="24"/>
                <w:szCs w:val="24"/>
                <w:lang w:val="en-US" w:eastAsia="zh-CN" w:bidi="ar"/>
              </w:rPr>
              <w:t>内容</w:t>
            </w:r>
            <w:r>
              <w:rPr>
                <w:rFonts w:hint="eastAsia" w:ascii="仿宋" w:hAnsi="仿宋" w:eastAsia="仿宋" w:cs="仿宋"/>
                <w:color w:val="000000"/>
                <w:sz w:val="24"/>
                <w:szCs w:val="24"/>
                <w:lang w:eastAsia="zh-CN" w:bidi="ar"/>
              </w:rPr>
              <w:t>）</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73175421">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bidi="ar"/>
              </w:rPr>
              <w:t>单价</w:t>
            </w: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44896812">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bidi="ar"/>
              </w:rPr>
              <w:t>数量</w:t>
            </w: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6BD159E7">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总价（元）</w:t>
            </w: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288CB4EE">
            <w:pPr>
              <w:widowControl/>
              <w:jc w:val="center"/>
              <w:textAlignment w:val="center"/>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备注</w:t>
            </w:r>
          </w:p>
        </w:tc>
      </w:tr>
      <w:tr w14:paraId="0FDB3458">
        <w:tblPrEx>
          <w:tblCellMar>
            <w:top w:w="0" w:type="dxa"/>
            <w:left w:w="108" w:type="dxa"/>
            <w:bottom w:w="0" w:type="dxa"/>
            <w:right w:w="108" w:type="dxa"/>
          </w:tblCellMar>
        </w:tblPrEx>
        <w:trPr>
          <w:trHeight w:val="591"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04B129C">
            <w:pPr>
              <w:widowControl/>
              <w:jc w:val="center"/>
              <w:textAlignment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1</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3F5EA4AB">
            <w:pPr>
              <w:widowControl/>
              <w:jc w:val="center"/>
              <w:textAlignment w:val="center"/>
              <w:rPr>
                <w:rFonts w:hint="default" w:ascii="仿宋" w:hAnsi="仿宋" w:eastAsia="仿宋" w:cs="仿宋"/>
                <w:color w:val="000000"/>
                <w:szCs w:val="24"/>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206E4B88">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48CA313B">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7B824B94">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74D87D5C">
            <w:pPr>
              <w:widowControl/>
              <w:jc w:val="center"/>
              <w:textAlignment w:val="center"/>
              <w:rPr>
                <w:rFonts w:hint="eastAsia" w:ascii="仿宋" w:hAnsi="仿宋" w:eastAsia="仿宋" w:cs="仿宋"/>
                <w:color w:val="000000"/>
                <w:szCs w:val="24"/>
              </w:rPr>
            </w:pPr>
          </w:p>
        </w:tc>
      </w:tr>
      <w:tr w14:paraId="016F4B89">
        <w:tblPrEx>
          <w:tblCellMar>
            <w:top w:w="0" w:type="dxa"/>
            <w:left w:w="108" w:type="dxa"/>
            <w:bottom w:w="0" w:type="dxa"/>
            <w:right w:w="108" w:type="dxa"/>
          </w:tblCellMar>
        </w:tblPrEx>
        <w:trPr>
          <w:trHeight w:val="591"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17BB170">
            <w:pPr>
              <w:widowControl/>
              <w:jc w:val="center"/>
              <w:textAlignment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2</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26865589">
            <w:pPr>
              <w:widowControl/>
              <w:jc w:val="center"/>
              <w:textAlignment w:val="center"/>
              <w:rPr>
                <w:rFonts w:hint="default" w:ascii="仿宋" w:hAnsi="仿宋" w:eastAsia="仿宋" w:cs="仿宋"/>
                <w:color w:val="000000"/>
                <w:szCs w:val="24"/>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121D46A6">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33E4DC72">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1E609BBA">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5FFD7957">
            <w:pPr>
              <w:widowControl/>
              <w:jc w:val="center"/>
              <w:textAlignment w:val="center"/>
              <w:rPr>
                <w:rFonts w:hint="eastAsia" w:ascii="仿宋" w:hAnsi="仿宋" w:eastAsia="仿宋" w:cs="仿宋"/>
                <w:color w:val="000000"/>
                <w:szCs w:val="24"/>
              </w:rPr>
            </w:pPr>
          </w:p>
        </w:tc>
      </w:tr>
      <w:tr w14:paraId="50E35A76">
        <w:tblPrEx>
          <w:tblCellMar>
            <w:top w:w="0" w:type="dxa"/>
            <w:left w:w="108" w:type="dxa"/>
            <w:bottom w:w="0" w:type="dxa"/>
            <w:right w:w="108" w:type="dxa"/>
          </w:tblCellMar>
        </w:tblPrEx>
        <w:trPr>
          <w:trHeight w:val="60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1C72DBD">
            <w:pPr>
              <w:widowControl/>
              <w:jc w:val="center"/>
              <w:textAlignment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3</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105A9152">
            <w:pPr>
              <w:widowControl/>
              <w:jc w:val="center"/>
              <w:textAlignment w:val="center"/>
              <w:rPr>
                <w:rFonts w:hint="default" w:ascii="仿宋" w:hAnsi="仿宋" w:eastAsia="仿宋" w:cs="仿宋"/>
                <w:color w:val="000000"/>
                <w:szCs w:val="24"/>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03999D0A">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2A5A2187">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77B67A42">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350CE260">
            <w:pPr>
              <w:widowControl/>
              <w:jc w:val="center"/>
              <w:textAlignment w:val="center"/>
              <w:rPr>
                <w:rFonts w:hint="eastAsia" w:ascii="仿宋" w:hAnsi="仿宋" w:eastAsia="仿宋" w:cs="仿宋"/>
                <w:color w:val="000000"/>
                <w:szCs w:val="24"/>
              </w:rPr>
            </w:pPr>
          </w:p>
        </w:tc>
      </w:tr>
      <w:tr w14:paraId="4D3F9F98">
        <w:tblPrEx>
          <w:tblCellMar>
            <w:top w:w="0" w:type="dxa"/>
            <w:left w:w="108" w:type="dxa"/>
            <w:bottom w:w="0" w:type="dxa"/>
            <w:right w:w="108" w:type="dxa"/>
          </w:tblCellMar>
        </w:tblPrEx>
        <w:trPr>
          <w:trHeight w:val="664"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651CF34">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2B948A01">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298ADC85">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33346013">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3E31F8C3">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66B7F217">
            <w:pPr>
              <w:widowControl/>
              <w:jc w:val="center"/>
              <w:textAlignment w:val="center"/>
              <w:rPr>
                <w:rFonts w:hint="eastAsia" w:ascii="仿宋" w:hAnsi="仿宋" w:eastAsia="仿宋" w:cs="仿宋"/>
                <w:color w:val="000000"/>
                <w:szCs w:val="24"/>
              </w:rPr>
            </w:pPr>
          </w:p>
        </w:tc>
      </w:tr>
      <w:tr w14:paraId="341AE0DB">
        <w:tblPrEx>
          <w:tblCellMar>
            <w:top w:w="0" w:type="dxa"/>
            <w:left w:w="108" w:type="dxa"/>
            <w:bottom w:w="0" w:type="dxa"/>
            <w:right w:w="108" w:type="dxa"/>
          </w:tblCellMar>
        </w:tblPrEx>
        <w:trPr>
          <w:trHeight w:val="651"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901129C">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6343286F">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5C99ED1C">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39822A61">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2DEBD36F">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4BF34023">
            <w:pPr>
              <w:widowControl/>
              <w:jc w:val="center"/>
              <w:textAlignment w:val="center"/>
              <w:rPr>
                <w:rFonts w:hint="eastAsia" w:ascii="仿宋" w:hAnsi="仿宋" w:eastAsia="仿宋" w:cs="仿宋"/>
                <w:color w:val="000000"/>
                <w:szCs w:val="24"/>
              </w:rPr>
            </w:pPr>
          </w:p>
        </w:tc>
      </w:tr>
      <w:tr w14:paraId="7989577F">
        <w:tblPrEx>
          <w:tblCellMar>
            <w:top w:w="0" w:type="dxa"/>
            <w:left w:w="108" w:type="dxa"/>
            <w:bottom w:w="0" w:type="dxa"/>
            <w:right w:w="108" w:type="dxa"/>
          </w:tblCellMar>
        </w:tblPrEx>
        <w:trPr>
          <w:trHeight w:val="575"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814881B">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2981" w:type="dxa"/>
            <w:tcBorders>
              <w:top w:val="single" w:color="000000" w:sz="4" w:space="0"/>
              <w:left w:val="single" w:color="000000" w:sz="4" w:space="0"/>
              <w:bottom w:val="single" w:color="000000" w:sz="4" w:space="0"/>
              <w:right w:val="single" w:color="000000" w:sz="4" w:space="0"/>
            </w:tcBorders>
            <w:noWrap w:val="0"/>
            <w:vAlign w:val="center"/>
          </w:tcPr>
          <w:p w14:paraId="142BED4F">
            <w:pPr>
              <w:widowControl/>
              <w:jc w:val="center"/>
              <w:textAlignment w:val="center"/>
              <w:rPr>
                <w:rFonts w:hint="eastAsia" w:ascii="仿宋" w:hAnsi="仿宋" w:eastAsia="仿宋" w:cs="仿宋"/>
                <w:color w:val="000000"/>
                <w:szCs w:val="24"/>
              </w:rPr>
            </w:pPr>
            <w:r>
              <w:rPr>
                <w:rFonts w:hint="default" w:ascii="Arial" w:hAnsi="Arial" w:eastAsia="仿宋" w:cs="Arial"/>
                <w:b/>
                <w:bCs/>
                <w:color w:val="000000"/>
                <w:szCs w:val="24"/>
              </w:rPr>
              <w:t>…</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51222E2B">
            <w:pPr>
              <w:widowControl/>
              <w:jc w:val="center"/>
              <w:textAlignment w:val="center"/>
              <w:rPr>
                <w:rFonts w:hint="eastAsia" w:ascii="仿宋" w:hAnsi="仿宋" w:eastAsia="仿宋" w:cs="仿宋"/>
                <w:color w:val="000000"/>
                <w:szCs w:val="24"/>
              </w:rPr>
            </w:pPr>
          </w:p>
        </w:tc>
        <w:tc>
          <w:tcPr>
            <w:tcW w:w="1610" w:type="dxa"/>
            <w:tcBorders>
              <w:top w:val="single" w:color="000000" w:sz="4" w:space="0"/>
              <w:left w:val="single" w:color="000000" w:sz="4" w:space="0"/>
              <w:bottom w:val="single" w:color="000000" w:sz="4" w:space="0"/>
              <w:right w:val="single" w:color="000000" w:sz="4" w:space="0"/>
            </w:tcBorders>
            <w:noWrap w:val="0"/>
            <w:vAlign w:val="center"/>
          </w:tcPr>
          <w:p w14:paraId="28F2EA91">
            <w:pPr>
              <w:widowControl/>
              <w:jc w:val="center"/>
              <w:textAlignment w:val="center"/>
              <w:rPr>
                <w:rFonts w:hint="eastAsia" w:ascii="仿宋" w:hAnsi="仿宋" w:eastAsia="仿宋" w:cs="仿宋"/>
                <w:color w:val="000000"/>
                <w:szCs w:val="24"/>
              </w:rPr>
            </w:pPr>
          </w:p>
        </w:tc>
        <w:tc>
          <w:tcPr>
            <w:tcW w:w="1284" w:type="dxa"/>
            <w:tcBorders>
              <w:top w:val="single" w:color="000000" w:sz="4" w:space="0"/>
              <w:left w:val="single" w:color="000000" w:sz="4" w:space="0"/>
              <w:bottom w:val="single" w:color="000000" w:sz="4" w:space="0"/>
              <w:right w:val="single" w:color="auto" w:sz="4" w:space="0"/>
            </w:tcBorders>
            <w:noWrap w:val="0"/>
            <w:vAlign w:val="center"/>
          </w:tcPr>
          <w:p w14:paraId="396F95B4">
            <w:pPr>
              <w:widowControl/>
              <w:jc w:val="center"/>
              <w:textAlignment w:val="center"/>
              <w:rPr>
                <w:rFonts w:hint="eastAsia" w:ascii="仿宋" w:hAnsi="仿宋" w:eastAsia="仿宋" w:cs="仿宋"/>
                <w:color w:val="000000"/>
                <w:szCs w:val="24"/>
              </w:rPr>
            </w:pPr>
          </w:p>
        </w:tc>
        <w:tc>
          <w:tcPr>
            <w:tcW w:w="1112" w:type="dxa"/>
            <w:tcBorders>
              <w:top w:val="single" w:color="000000" w:sz="4" w:space="0"/>
              <w:left w:val="single" w:color="auto" w:sz="4" w:space="0"/>
              <w:bottom w:val="single" w:color="000000" w:sz="4" w:space="0"/>
              <w:right w:val="single" w:color="000000" w:sz="4" w:space="0"/>
            </w:tcBorders>
            <w:noWrap w:val="0"/>
            <w:vAlign w:val="center"/>
          </w:tcPr>
          <w:p w14:paraId="014DB5A2">
            <w:pPr>
              <w:widowControl/>
              <w:jc w:val="center"/>
              <w:textAlignment w:val="center"/>
              <w:rPr>
                <w:rFonts w:hint="eastAsia" w:ascii="仿宋" w:hAnsi="仿宋" w:eastAsia="仿宋" w:cs="仿宋"/>
                <w:color w:val="000000"/>
                <w:szCs w:val="24"/>
              </w:rPr>
            </w:pPr>
          </w:p>
        </w:tc>
      </w:tr>
      <w:tr w14:paraId="7AC74659">
        <w:tblPrEx>
          <w:tblCellMar>
            <w:top w:w="0" w:type="dxa"/>
            <w:left w:w="108" w:type="dxa"/>
            <w:bottom w:w="0" w:type="dxa"/>
            <w:right w:w="108" w:type="dxa"/>
          </w:tblCellMar>
        </w:tblPrEx>
        <w:trPr>
          <w:trHeight w:val="610"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7B89C125">
            <w:pPr>
              <w:widowControl/>
              <w:jc w:val="center"/>
              <w:textAlignment w:val="center"/>
              <w:rPr>
                <w:rFonts w:hint="eastAsia" w:ascii="仿宋" w:hAnsi="仿宋" w:eastAsia="仿宋" w:cs="仿宋"/>
                <w:color w:val="000000"/>
                <w:szCs w:val="24"/>
                <w:lang w:bidi="ar"/>
              </w:rPr>
            </w:pPr>
            <w:r>
              <w:rPr>
                <w:rFonts w:hint="eastAsia" w:ascii="仿宋" w:hAnsi="仿宋" w:eastAsia="仿宋" w:cs="仿宋"/>
                <w:color w:val="000000"/>
                <w:szCs w:val="24"/>
                <w:lang w:bidi="ar"/>
              </w:rPr>
              <w:t>合计</w:t>
            </w:r>
          </w:p>
        </w:tc>
        <w:tc>
          <w:tcPr>
            <w:tcW w:w="8129" w:type="dxa"/>
            <w:gridSpan w:val="5"/>
            <w:tcBorders>
              <w:top w:val="single" w:color="000000" w:sz="4" w:space="0"/>
              <w:left w:val="single" w:color="000000" w:sz="4" w:space="0"/>
              <w:bottom w:val="single" w:color="000000" w:sz="4" w:space="0"/>
              <w:right w:val="single" w:color="000000" w:sz="4" w:space="0"/>
            </w:tcBorders>
            <w:noWrap w:val="0"/>
            <w:vAlign w:val="center"/>
          </w:tcPr>
          <w:p w14:paraId="445ED478">
            <w:pPr>
              <w:widowControl/>
              <w:jc w:val="center"/>
              <w:textAlignment w:val="center"/>
              <w:rPr>
                <w:rFonts w:ascii="仿宋" w:hAnsi="仿宋" w:eastAsia="仿宋" w:cs="仿宋"/>
                <w:color w:val="000000"/>
                <w:szCs w:val="24"/>
                <w:lang w:bidi="ar"/>
              </w:rPr>
            </w:pPr>
            <w:r>
              <w:rPr>
                <w:rFonts w:hint="eastAsia" w:ascii="仿宋" w:hAnsi="仿宋" w:eastAsia="仿宋" w:cs="仿宋"/>
                <w:color w:val="000000"/>
                <w:szCs w:val="24"/>
                <w:lang w:bidi="ar"/>
              </w:rPr>
              <w:t>人民币</w:t>
            </w:r>
            <w:r>
              <w:rPr>
                <w:rFonts w:hint="eastAsia" w:ascii="仿宋" w:hAnsi="仿宋" w:eastAsia="仿宋" w:cs="仿宋"/>
                <w:color w:val="000000"/>
                <w:szCs w:val="24"/>
                <w:u w:val="single"/>
                <w:lang w:bidi="ar"/>
              </w:rPr>
              <w:t xml:space="preserve">               </w:t>
            </w:r>
            <w:r>
              <w:rPr>
                <w:rFonts w:hint="eastAsia" w:ascii="仿宋" w:hAnsi="仿宋" w:eastAsia="仿宋" w:cs="仿宋"/>
                <w:color w:val="000000"/>
                <w:szCs w:val="24"/>
                <w:lang w:bidi="ar"/>
              </w:rPr>
              <w:t xml:space="preserve">（小写￥ </w:t>
            </w:r>
            <w:r>
              <w:rPr>
                <w:rFonts w:hint="eastAsia" w:ascii="仿宋" w:hAnsi="仿宋" w:eastAsia="仿宋" w:cs="仿宋"/>
                <w:color w:val="000000"/>
                <w:szCs w:val="24"/>
                <w:u w:val="single"/>
                <w:lang w:bidi="ar"/>
              </w:rPr>
              <w:t xml:space="preserve">            </w:t>
            </w:r>
            <w:r>
              <w:rPr>
                <w:rFonts w:hint="eastAsia" w:ascii="仿宋" w:hAnsi="仿宋" w:eastAsia="仿宋" w:cs="仿宋"/>
                <w:color w:val="000000"/>
                <w:szCs w:val="24"/>
                <w:lang w:eastAsia="zh-Hans" w:bidi="ar"/>
              </w:rPr>
              <w:t>元</w:t>
            </w:r>
            <w:r>
              <w:rPr>
                <w:rFonts w:hint="eastAsia" w:ascii="仿宋" w:hAnsi="仿宋" w:eastAsia="仿宋" w:cs="仿宋"/>
                <w:color w:val="000000"/>
                <w:szCs w:val="24"/>
                <w:lang w:bidi="ar"/>
              </w:rPr>
              <w:t>）</w:t>
            </w:r>
          </w:p>
        </w:tc>
      </w:tr>
    </w:tbl>
    <w:p w14:paraId="4F9D3B97">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p>
    <w:p w14:paraId="69C21C0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合同暂定总价款为人民币（大写）</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 ）。包括</w:t>
      </w:r>
      <w:r>
        <w:rPr>
          <w:rStyle w:val="9"/>
          <w:rFonts w:hint="eastAsia" w:asciiTheme="minorEastAsia" w:hAnsiTheme="minorEastAsia" w:eastAsiaTheme="minorEastAsia" w:cstheme="minorEastAsia"/>
          <w:sz w:val="22"/>
          <w:szCs w:val="22"/>
          <w:highlight w:val="none"/>
          <w:lang w:val="zh-CN"/>
        </w:rPr>
        <w:t>完成本项目所需的全部费用。</w:t>
      </w:r>
    </w:p>
    <w:p w14:paraId="77223E3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2" w:name="_Toc11289"/>
      <w:r>
        <w:rPr>
          <w:rStyle w:val="9"/>
          <w:rFonts w:hint="eastAsia" w:asciiTheme="minorEastAsia" w:hAnsiTheme="minorEastAsia" w:eastAsiaTheme="minorEastAsia" w:cstheme="minorEastAsia"/>
          <w:b/>
          <w:bCs/>
          <w:sz w:val="22"/>
          <w:szCs w:val="22"/>
          <w:highlight w:val="none"/>
        </w:rPr>
        <w:t>三、款项结算</w:t>
      </w:r>
      <w:bookmarkEnd w:id="2"/>
    </w:p>
    <w:p w14:paraId="449FF49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（1）支付方式：银行转账。</w:t>
      </w:r>
    </w:p>
    <w:p w14:paraId="40DD20A0">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（2）结算方式：</w:t>
      </w:r>
    </w:p>
    <w:p w14:paraId="21033013">
      <w:pPr>
        <w:keepNext w:val="0"/>
        <w:keepLines w:val="0"/>
        <w:pageBreakBefore w:val="0"/>
        <w:kinsoku/>
        <w:wordWrap/>
        <w:overflowPunct/>
        <w:topLinePunct w:val="0"/>
        <w:autoSpaceDE/>
        <w:autoSpaceDN/>
        <w:bidi w:val="0"/>
        <w:adjustRightInd/>
        <w:snapToGrid w:val="0"/>
        <w:spacing w:line="480" w:lineRule="exact"/>
        <w:ind w:firstLine="660" w:firstLineChars="300"/>
        <w:textAlignment w:val="auto"/>
        <w:outlineLvl w:val="1"/>
        <w:rPr>
          <w:rStyle w:val="9"/>
          <w:rFonts w:hint="eastAsia" w:asciiTheme="minorEastAsia" w:hAnsiTheme="minorEastAsia" w:eastAsiaTheme="minorEastAsia" w:cstheme="minorEastAsia"/>
          <w:b w:val="0"/>
          <w:bCs w:val="0"/>
          <w:sz w:val="22"/>
          <w:szCs w:val="22"/>
          <w:highlight w:val="none"/>
          <w:lang w:val="en-US" w:eastAsia="zh-CN"/>
        </w:rPr>
      </w:pPr>
      <w:bookmarkStart w:id="3" w:name="_Toc12559"/>
      <w:r>
        <w:rPr>
          <w:rStyle w:val="9"/>
          <w:rFonts w:hint="eastAsia" w:asciiTheme="minorEastAsia" w:hAnsiTheme="minorEastAsia" w:eastAsiaTheme="minorEastAsia" w:cstheme="minorEastAsia"/>
          <w:b w:val="0"/>
          <w:bCs w:val="0"/>
          <w:sz w:val="22"/>
          <w:szCs w:val="22"/>
          <w:highlight w:val="none"/>
          <w:lang w:val="en-US" w:eastAsia="zh-CN"/>
        </w:rPr>
        <w:t>按月支付，甲方在付款前</w:t>
      </w:r>
      <w:bookmarkStart w:id="11" w:name="_GoBack"/>
      <w:bookmarkEnd w:id="11"/>
      <w:r>
        <w:rPr>
          <w:rStyle w:val="9"/>
          <w:rFonts w:hint="eastAsia" w:asciiTheme="minorEastAsia" w:hAnsiTheme="minorEastAsia" w:eastAsiaTheme="minorEastAsia" w:cstheme="minorEastAsia"/>
          <w:b w:val="0"/>
          <w:bCs w:val="0"/>
          <w:sz w:val="22"/>
          <w:szCs w:val="22"/>
          <w:highlight w:val="none"/>
          <w:lang w:val="en-US" w:eastAsia="zh-CN"/>
        </w:rPr>
        <w:t>，乙方应提供等额正式发票及服务验收合格确认单，甲方一次性将本月服务费以银行转账方式支付于乙方。</w:t>
      </w:r>
    </w:p>
    <w:p w14:paraId="0F57CC46">
      <w:pPr>
        <w:keepNext w:val="0"/>
        <w:keepLines w:val="0"/>
        <w:pageBreakBefore w:val="0"/>
        <w:kinsoku/>
        <w:wordWrap/>
        <w:overflowPunct/>
        <w:topLinePunct w:val="0"/>
        <w:autoSpaceDE/>
        <w:autoSpaceDN/>
        <w:bidi w:val="0"/>
        <w:adjustRightInd/>
        <w:snapToGrid w:val="0"/>
        <w:spacing w:line="480" w:lineRule="exact"/>
        <w:ind w:firstLine="660" w:firstLineChars="300"/>
        <w:textAlignment w:val="auto"/>
        <w:outlineLvl w:val="1"/>
        <w:rPr>
          <w:rStyle w:val="9"/>
          <w:rFonts w:hint="eastAsia" w:asciiTheme="minorEastAsia" w:hAnsiTheme="minorEastAsia" w:eastAsiaTheme="minorEastAsia" w:cstheme="minorEastAsia"/>
          <w:b w:val="0"/>
          <w:bCs w:val="0"/>
          <w:sz w:val="22"/>
          <w:szCs w:val="22"/>
          <w:highlight w:val="none"/>
          <w:lang w:val="en-US" w:eastAsia="zh-CN"/>
        </w:rPr>
      </w:pPr>
      <w:r>
        <w:rPr>
          <w:rStyle w:val="9"/>
          <w:rFonts w:hint="eastAsia" w:asciiTheme="minorEastAsia" w:hAnsiTheme="minorEastAsia" w:eastAsiaTheme="minorEastAsia" w:cstheme="minorEastAsia"/>
          <w:b w:val="0"/>
          <w:bCs w:val="0"/>
          <w:sz w:val="22"/>
          <w:szCs w:val="22"/>
          <w:highlight w:val="none"/>
          <w:lang w:val="en-US" w:eastAsia="zh-CN"/>
        </w:rPr>
        <w:t>注：甲方依据采购文件相关标准对乙方的服务工作进行考核。因乙方原因导致服务未达到甲方要求的，扣除相应的金额。</w:t>
      </w:r>
    </w:p>
    <w:p w14:paraId="2F008BBD">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四、组成本合同的文件</w:t>
      </w:r>
      <w:bookmarkEnd w:id="3"/>
    </w:p>
    <w:p w14:paraId="57F8238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1.协议书；</w:t>
      </w:r>
    </w:p>
    <w:p w14:paraId="62ACA79F">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2.</w:t>
      </w:r>
      <w:r>
        <w:rPr>
          <w:rStyle w:val="9"/>
          <w:rFonts w:hint="eastAsia" w:asciiTheme="minorEastAsia" w:hAnsiTheme="minorEastAsia" w:eastAsiaTheme="minorEastAsia" w:cstheme="minorEastAsia"/>
          <w:sz w:val="22"/>
          <w:szCs w:val="22"/>
          <w:highlight w:val="none"/>
          <w:lang w:eastAsia="zh-CN"/>
        </w:rPr>
        <w:t>成交</w:t>
      </w:r>
      <w:r>
        <w:rPr>
          <w:rStyle w:val="9"/>
          <w:rFonts w:hint="eastAsia" w:asciiTheme="minorEastAsia" w:hAnsiTheme="minorEastAsia" w:eastAsiaTheme="minorEastAsia" w:cstheme="minorEastAsia"/>
          <w:sz w:val="22"/>
          <w:szCs w:val="22"/>
          <w:highlight w:val="none"/>
        </w:rPr>
        <w:t>通知书、</w:t>
      </w:r>
      <w:r>
        <w:rPr>
          <w:rStyle w:val="9"/>
          <w:rFonts w:hint="eastAsia" w:asciiTheme="minorEastAsia" w:hAnsiTheme="minorEastAsia" w:eastAsiaTheme="minorEastAsia" w:cstheme="minorEastAsia"/>
          <w:sz w:val="22"/>
          <w:szCs w:val="22"/>
          <w:highlight w:val="none"/>
          <w:lang w:eastAsia="zh-CN"/>
        </w:rPr>
        <w:t>响应</w:t>
      </w:r>
      <w:r>
        <w:rPr>
          <w:rStyle w:val="9"/>
          <w:rFonts w:hint="eastAsia" w:asciiTheme="minorEastAsia" w:hAnsiTheme="minorEastAsia" w:eastAsiaTheme="minorEastAsia" w:cstheme="minorEastAsia"/>
          <w:sz w:val="22"/>
          <w:szCs w:val="22"/>
          <w:highlight w:val="none"/>
        </w:rPr>
        <w:t>文件、</w:t>
      </w:r>
      <w:r>
        <w:rPr>
          <w:rStyle w:val="9"/>
          <w:rFonts w:hint="eastAsia" w:asciiTheme="minorEastAsia" w:hAnsiTheme="minorEastAsia" w:eastAsiaTheme="minorEastAsia" w:cstheme="minorEastAsia"/>
          <w:sz w:val="22"/>
          <w:szCs w:val="22"/>
          <w:highlight w:val="none"/>
          <w:lang w:val="en-US" w:eastAsia="zh-CN"/>
        </w:rPr>
        <w:t>成交通知书</w:t>
      </w:r>
      <w:r>
        <w:rPr>
          <w:rStyle w:val="9"/>
          <w:rFonts w:hint="eastAsia" w:asciiTheme="minorEastAsia" w:hAnsiTheme="minorEastAsia" w:eastAsiaTheme="minorEastAsia" w:cstheme="minorEastAsia"/>
          <w:sz w:val="22"/>
          <w:szCs w:val="22"/>
          <w:highlight w:val="none"/>
        </w:rPr>
        <w:t>、澄清、澄清补充文件（或委托书）；</w:t>
      </w:r>
    </w:p>
    <w:p w14:paraId="14607AA4">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3.相关服务建议书；</w:t>
      </w:r>
    </w:p>
    <w:p w14:paraId="02AE93F5">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4. 附录，即：附表内相关服务的范围和内容；</w:t>
      </w:r>
    </w:p>
    <w:p w14:paraId="3D8A3C6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sz w:val="22"/>
          <w:szCs w:val="22"/>
          <w:highlight w:val="none"/>
        </w:rPr>
        <w:t>本合同签订后，双方依法签订的补充协议也是本合同文件的组成部分。</w:t>
      </w:r>
    </w:p>
    <w:p w14:paraId="4F1419A2">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4" w:name="_Toc22699"/>
      <w:r>
        <w:rPr>
          <w:rStyle w:val="9"/>
          <w:rFonts w:hint="eastAsia" w:asciiTheme="minorEastAsia" w:hAnsiTheme="minorEastAsia" w:eastAsiaTheme="minorEastAsia" w:cstheme="minorEastAsia"/>
          <w:b/>
          <w:bCs/>
          <w:sz w:val="22"/>
          <w:szCs w:val="22"/>
          <w:highlight w:val="none"/>
        </w:rPr>
        <w:t>五、服务地点、服务周期及服务标准：</w:t>
      </w:r>
      <w:bookmarkEnd w:id="4"/>
    </w:p>
    <w:p w14:paraId="415D807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（一）服务地点：采购人指定地点。</w:t>
      </w:r>
    </w:p>
    <w:p w14:paraId="0A110116">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（二）服务期：</w:t>
      </w:r>
      <w:r>
        <w:rPr>
          <w:rStyle w:val="9"/>
          <w:rFonts w:hint="eastAsia" w:asciiTheme="minorEastAsia" w:hAnsiTheme="minorEastAsia" w:eastAsiaTheme="minorEastAsia" w:cstheme="minorEastAsia"/>
          <w:bCs/>
          <w:sz w:val="22"/>
          <w:szCs w:val="22"/>
          <w:highlight w:val="none"/>
          <w:lang w:val="en-US" w:eastAsia="zh-CN"/>
        </w:rPr>
        <w:t>一年</w:t>
      </w:r>
      <w:r>
        <w:rPr>
          <w:rStyle w:val="9"/>
          <w:rFonts w:hint="eastAsia" w:asciiTheme="minorEastAsia" w:hAnsiTheme="minorEastAsia" w:eastAsiaTheme="minorEastAsia" w:cstheme="minorEastAsia"/>
          <w:bCs/>
          <w:sz w:val="22"/>
          <w:szCs w:val="22"/>
          <w:highlight w:val="none"/>
        </w:rPr>
        <w:t>。</w:t>
      </w:r>
    </w:p>
    <w:p w14:paraId="13B3BBA5">
      <w:pPr>
        <w:keepNext w:val="0"/>
        <w:keepLines w:val="0"/>
        <w:pageBreakBefore w:val="0"/>
        <w:widowControl/>
        <w:kinsoku/>
        <w:wordWrap/>
        <w:overflowPunct/>
        <w:topLinePunct w:val="0"/>
        <w:autoSpaceDE/>
        <w:autoSpaceDN/>
        <w:bidi w:val="0"/>
        <w:adjustRightInd/>
        <w:spacing w:line="480" w:lineRule="exact"/>
        <w:ind w:firstLine="440" w:firstLineChars="200"/>
        <w:jc w:val="left"/>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bCs/>
          <w:sz w:val="22"/>
          <w:szCs w:val="22"/>
          <w:highlight w:val="none"/>
        </w:rPr>
        <w:t>（三）服务标准：</w:t>
      </w:r>
      <w:r>
        <w:rPr>
          <w:rFonts w:hint="eastAsia" w:asciiTheme="minorEastAsia" w:hAnsiTheme="minorEastAsia" w:eastAsiaTheme="minorEastAsia" w:cstheme="minorEastAsia"/>
          <w:sz w:val="22"/>
          <w:szCs w:val="22"/>
          <w:highlight w:val="none"/>
          <w:lang w:val="en-US" w:eastAsia="zh-CN"/>
        </w:rPr>
        <w:t>符合</w:t>
      </w:r>
      <w:r>
        <w:rPr>
          <w:rFonts w:hint="eastAsia" w:asciiTheme="minorEastAsia" w:hAnsiTheme="minorEastAsia" w:eastAsiaTheme="minorEastAsia" w:cstheme="minorEastAsia"/>
          <w:sz w:val="22"/>
          <w:szCs w:val="22"/>
          <w:highlight w:val="none"/>
          <w:lang w:val="zh-CN" w:eastAsia="zh-CN"/>
        </w:rPr>
        <w:t>国家、</w:t>
      </w:r>
      <w:r>
        <w:rPr>
          <w:rFonts w:hint="eastAsia" w:asciiTheme="minorEastAsia" w:hAnsiTheme="minorEastAsia" w:eastAsiaTheme="minorEastAsia" w:cstheme="minorEastAsia"/>
          <w:sz w:val="22"/>
          <w:szCs w:val="22"/>
          <w:highlight w:val="none"/>
          <w:lang w:val="en-US" w:eastAsia="zh-CN"/>
        </w:rPr>
        <w:t>行业</w:t>
      </w:r>
      <w:r>
        <w:rPr>
          <w:rFonts w:hint="eastAsia" w:asciiTheme="minorEastAsia" w:hAnsiTheme="minorEastAsia" w:eastAsiaTheme="minorEastAsia" w:cstheme="minorEastAsia"/>
          <w:sz w:val="22"/>
          <w:szCs w:val="22"/>
          <w:highlight w:val="none"/>
          <w:lang w:val="zh-CN" w:eastAsia="zh-CN"/>
        </w:rPr>
        <w:t>相关标准</w:t>
      </w:r>
    </w:p>
    <w:p w14:paraId="0440ED6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5" w:name="_Toc29964"/>
      <w:r>
        <w:rPr>
          <w:rStyle w:val="9"/>
          <w:rFonts w:hint="eastAsia" w:asciiTheme="minorEastAsia" w:hAnsiTheme="minorEastAsia" w:eastAsiaTheme="minorEastAsia" w:cstheme="minorEastAsia"/>
          <w:b/>
          <w:bCs/>
          <w:sz w:val="22"/>
          <w:szCs w:val="22"/>
          <w:highlight w:val="none"/>
        </w:rPr>
        <w:t>双方的权利和义务</w:t>
      </w:r>
      <w:bookmarkEnd w:id="5"/>
    </w:p>
    <w:p w14:paraId="28A61D24">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ind w:firstLine="442"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（一）甲方的权利与义务</w:t>
      </w:r>
    </w:p>
    <w:p w14:paraId="14F8A74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甲方有权要求乙方服务的项目内容符合国家相关规范，符合国家验收标准，能够通过验收。</w:t>
      </w:r>
    </w:p>
    <w:p w14:paraId="7D4E75DB">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甲方有权要求乙方配合甲方完成所采购服务内容的预验收工作以及正式验收工作。</w:t>
      </w:r>
    </w:p>
    <w:p w14:paraId="31261636">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甲方有权要求乙方提供的服务所涉及的第三方权利进行免责。</w:t>
      </w:r>
    </w:p>
    <w:p w14:paraId="6E5A26F7">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甲方有义务保证按合同所规定的内容及时间支付乙方相关费用。</w:t>
      </w:r>
    </w:p>
    <w:p w14:paraId="3C6CDAD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w:t>
      </w:r>
      <w:r>
        <w:rPr>
          <w:rStyle w:val="9"/>
          <w:rFonts w:hint="eastAsia" w:asciiTheme="minorEastAsia" w:hAnsiTheme="minorEastAsia" w:eastAsiaTheme="minorEastAsia" w:cstheme="minorEastAsia"/>
          <w:sz w:val="22"/>
          <w:szCs w:val="22"/>
          <w:highlight w:val="none"/>
        </w:rPr>
        <w:t>项目负责人为</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lang w:val="en-US" w:eastAsia="zh-CN"/>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w:t>
      </w:r>
    </w:p>
    <w:p w14:paraId="6573D9D1">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（二）乙方的权利与义务</w:t>
      </w:r>
    </w:p>
    <w:p w14:paraId="546A35F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乙方应按本合同的规定完成相关服务，并保证甲方工作正常运行。</w:t>
      </w:r>
    </w:p>
    <w:p w14:paraId="7FD945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乙方有权要求甲方按照具体情况提供必要的服务条件。</w:t>
      </w:r>
    </w:p>
    <w:p w14:paraId="284B9FFA">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乙方有义务配合甲方参与项目的预验收、正式验收工作，并确保所服务项目内容符合本项目质量标准。</w:t>
      </w:r>
    </w:p>
    <w:p w14:paraId="55E8E2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 xml:space="preserve">乙方项目负责人为 </w:t>
      </w:r>
      <w:r>
        <w:rPr>
          <w:rStyle w:val="9"/>
          <w:rFonts w:hint="eastAsia" w:asciiTheme="minorEastAsia" w:hAnsiTheme="minorEastAsia" w:eastAsiaTheme="minorEastAsia" w:cstheme="minorEastAsia"/>
          <w:kern w:val="28"/>
          <w:sz w:val="22"/>
          <w:szCs w:val="22"/>
          <w:highlight w:val="none"/>
          <w:u w:val="single"/>
        </w:rPr>
        <w:t xml:space="preserve">          </w:t>
      </w:r>
      <w:r>
        <w:rPr>
          <w:rStyle w:val="9"/>
          <w:rFonts w:hint="eastAsia" w:asciiTheme="minorEastAsia" w:hAnsiTheme="minorEastAsia" w:eastAsiaTheme="minorEastAsia" w:cstheme="minorEastAsia"/>
          <w:kern w:val="28"/>
          <w:sz w:val="22"/>
          <w:szCs w:val="22"/>
          <w:highlight w:val="none"/>
        </w:rPr>
        <w:t>。</w:t>
      </w:r>
    </w:p>
    <w:p w14:paraId="318A4231">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在服务验收时，向甲方提供相关成果文件。</w:t>
      </w:r>
    </w:p>
    <w:p w14:paraId="482AAC7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6" w:name="_Toc567"/>
      <w:r>
        <w:rPr>
          <w:rStyle w:val="9"/>
          <w:rFonts w:hint="eastAsia" w:asciiTheme="minorEastAsia" w:hAnsiTheme="minorEastAsia" w:eastAsiaTheme="minorEastAsia" w:cstheme="minorEastAsia"/>
          <w:b/>
          <w:bCs/>
          <w:sz w:val="22"/>
          <w:szCs w:val="22"/>
          <w:highlight w:val="none"/>
        </w:rPr>
        <w:t>项目验收</w:t>
      </w:r>
      <w:bookmarkEnd w:id="6"/>
    </w:p>
    <w:p w14:paraId="0E2065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kern w:val="28"/>
          <w:sz w:val="22"/>
          <w:szCs w:val="22"/>
          <w:highlight w:val="none"/>
        </w:rPr>
        <w:t>乙方配合甲方进行项目验收，验收依据主要包括：</w:t>
      </w:r>
      <w:r>
        <w:rPr>
          <w:rStyle w:val="9"/>
          <w:rFonts w:hint="eastAsia" w:asciiTheme="minorEastAsia" w:hAnsiTheme="minorEastAsia" w:eastAsiaTheme="minorEastAsia" w:cstheme="minorEastAsia"/>
          <w:kern w:val="28"/>
          <w:sz w:val="22"/>
          <w:szCs w:val="22"/>
          <w:highlight w:val="none"/>
          <w:lang w:eastAsia="zh-CN"/>
        </w:rPr>
        <w:t>磋商</w:t>
      </w:r>
      <w:r>
        <w:rPr>
          <w:rStyle w:val="9"/>
          <w:rFonts w:hint="eastAsia" w:asciiTheme="minorEastAsia" w:hAnsiTheme="minorEastAsia" w:eastAsiaTheme="minorEastAsia" w:cstheme="minorEastAsia"/>
          <w:kern w:val="28"/>
          <w:sz w:val="22"/>
          <w:szCs w:val="22"/>
          <w:highlight w:val="none"/>
        </w:rPr>
        <w:t>文件、</w:t>
      </w:r>
      <w:r>
        <w:rPr>
          <w:rStyle w:val="9"/>
          <w:rFonts w:hint="eastAsia" w:asciiTheme="minorEastAsia" w:hAnsiTheme="minorEastAsia" w:eastAsiaTheme="minorEastAsia" w:cstheme="minorEastAsia"/>
          <w:kern w:val="28"/>
          <w:sz w:val="22"/>
          <w:szCs w:val="22"/>
          <w:highlight w:val="none"/>
          <w:lang w:eastAsia="zh-CN"/>
        </w:rPr>
        <w:t>响应</w:t>
      </w:r>
      <w:r>
        <w:rPr>
          <w:rStyle w:val="9"/>
          <w:rFonts w:hint="eastAsia" w:asciiTheme="minorEastAsia" w:hAnsiTheme="minorEastAsia" w:eastAsiaTheme="minorEastAsia" w:cstheme="minorEastAsia"/>
          <w:kern w:val="28"/>
          <w:sz w:val="22"/>
          <w:szCs w:val="22"/>
          <w:highlight w:val="none"/>
        </w:rPr>
        <w:t>文件、采购合同、《中华人民共和国政府采购法》,《中华人民共和国政府采购法实施条例》等的相关要求。</w:t>
      </w:r>
    </w:p>
    <w:p w14:paraId="74B0E11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7" w:name="_Toc8190"/>
      <w:r>
        <w:rPr>
          <w:rStyle w:val="9"/>
          <w:rFonts w:hint="eastAsia" w:asciiTheme="minorEastAsia" w:hAnsiTheme="minorEastAsia" w:eastAsiaTheme="minorEastAsia" w:cstheme="minorEastAsia"/>
          <w:b/>
          <w:bCs/>
          <w:sz w:val="22"/>
          <w:szCs w:val="22"/>
          <w:highlight w:val="none"/>
        </w:rPr>
        <w:t>八、保密条款</w:t>
      </w:r>
      <w:bookmarkEnd w:id="7"/>
    </w:p>
    <w:p w14:paraId="1E2380E5">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color w:val="auto"/>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Theme="minorEastAsia" w:hAnsiTheme="minorEastAsia" w:eastAsiaTheme="minorEastAsia" w:cstheme="minorEastAsia"/>
          <w:color w:val="auto"/>
          <w:sz w:val="22"/>
          <w:szCs w:val="22"/>
          <w:highlight w:val="none"/>
        </w:rPr>
        <w:t>（4）该项目的其它保密事项应另行签订保密协议</w:t>
      </w:r>
      <w:r>
        <w:rPr>
          <w:rStyle w:val="9"/>
          <w:rFonts w:hint="eastAsia" w:asciiTheme="minorEastAsia" w:hAnsiTheme="minorEastAsia" w:eastAsiaTheme="minorEastAsia" w:cstheme="minorEastAsia"/>
          <w:color w:val="auto"/>
          <w:kern w:val="28"/>
          <w:sz w:val="22"/>
          <w:szCs w:val="22"/>
          <w:highlight w:val="none"/>
        </w:rPr>
        <w:t>。</w:t>
      </w:r>
    </w:p>
    <w:p w14:paraId="446A1B25">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8" w:name="_Toc29249"/>
      <w:r>
        <w:rPr>
          <w:rStyle w:val="9"/>
          <w:rFonts w:hint="eastAsia" w:asciiTheme="minorEastAsia" w:hAnsiTheme="minorEastAsia" w:eastAsiaTheme="minorEastAsia" w:cstheme="minorEastAsia"/>
          <w:b/>
          <w:bCs/>
          <w:sz w:val="22"/>
          <w:szCs w:val="22"/>
          <w:highlight w:val="none"/>
        </w:rPr>
        <w:t>九、违约责任</w:t>
      </w:r>
      <w:bookmarkEnd w:id="8"/>
    </w:p>
    <w:p w14:paraId="00CA388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FDC1C4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乙方应按照合同规定的期限完成服务内容，每延迟一天应承担当期应付款2‰的违约金，违约金累计不超过当期应付款10%。若违约金累计已达上限，乙方仍未履行，甲方有权解除合同。</w:t>
      </w:r>
    </w:p>
    <w:p w14:paraId="26DE7CA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合同成立后，在任何一方无实质违约的情况下，未经相对方书面允许，任何一方不得单方撤销、中止、终止履行合同。</w:t>
      </w:r>
    </w:p>
    <w:p w14:paraId="44C92757">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9" w:name="_Toc18016"/>
      <w:r>
        <w:rPr>
          <w:rStyle w:val="9"/>
          <w:rFonts w:hint="eastAsia" w:asciiTheme="minorEastAsia" w:hAnsiTheme="minorEastAsia" w:eastAsiaTheme="minorEastAsia" w:cstheme="minorEastAsia"/>
          <w:b/>
          <w:bCs/>
          <w:sz w:val="22"/>
          <w:szCs w:val="22"/>
          <w:highlight w:val="none"/>
        </w:rPr>
        <w:t>十、合同争议的解决：</w:t>
      </w:r>
      <w:bookmarkEnd w:id="9"/>
    </w:p>
    <w:p w14:paraId="49E5003A">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本合同履行过程中发生争议时，双方协商解决，协商不成的</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依法向甲方所在地人民法院起诉。</w:t>
      </w:r>
    </w:p>
    <w:p w14:paraId="75D0EB32">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0" w:name="_Toc16440"/>
      <w:r>
        <w:rPr>
          <w:rStyle w:val="9"/>
          <w:rFonts w:hint="eastAsia" w:asciiTheme="minorEastAsia" w:hAnsiTheme="minorEastAsia" w:eastAsiaTheme="minorEastAsia" w:cstheme="minorEastAsia"/>
          <w:b/>
          <w:bCs/>
          <w:sz w:val="22"/>
          <w:szCs w:val="22"/>
          <w:highlight w:val="none"/>
        </w:rPr>
        <w:t>十一、合同生效</w:t>
      </w:r>
      <w:bookmarkEnd w:id="10"/>
    </w:p>
    <w:p w14:paraId="62AC085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（一）本合同经双方签字盖章后生效。</w:t>
      </w:r>
    </w:p>
    <w:p w14:paraId="658B578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（二）本合同须经甲、乙双方的法定代表人（授权代理人）在合同书上签字并加盖本单位公章后正式生效。</w:t>
      </w:r>
    </w:p>
    <w:p w14:paraId="3B217131">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（三）合同生效后，甲、乙双方须严格执行本合同条款的规定，全面履行合同，违者按《中华人民共和国合同法》的有关规定承担相应责任。</w:t>
      </w:r>
    </w:p>
    <w:p w14:paraId="553466B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（四）本合同一式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lang w:val="en-US" w:eastAsia="zh-CN"/>
        </w:rPr>
        <w:t xml:space="preserve">  </w:t>
      </w:r>
      <w:r>
        <w:rPr>
          <w:rStyle w:val="9"/>
          <w:rFonts w:hint="eastAsia" w:asciiTheme="minorEastAsia" w:hAnsiTheme="minorEastAsia" w:eastAsiaTheme="minorEastAsia" w:cstheme="minorEastAsia"/>
          <w:sz w:val="22"/>
          <w:szCs w:val="22"/>
          <w:highlight w:val="none"/>
        </w:rPr>
        <w:t>份，甲乙双方各执</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份。</w:t>
      </w:r>
    </w:p>
    <w:p w14:paraId="0CA751C1">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（五）本合同如有未尽事宜，甲、乙双方协商解决。</w:t>
      </w:r>
    </w:p>
    <w:p w14:paraId="5DD99AC1">
      <w:pPr>
        <w:pStyle w:val="2"/>
        <w:rPr>
          <w:rStyle w:val="9"/>
          <w:rFonts w:hint="eastAsia" w:asciiTheme="minorEastAsia" w:hAnsiTheme="minorEastAsia" w:eastAsiaTheme="minorEastAsia" w:cstheme="minorEastAsia"/>
          <w:sz w:val="22"/>
          <w:szCs w:val="22"/>
          <w:highlight w:val="none"/>
          <w:lang w:val="en-US" w:eastAsia="zh-CN"/>
        </w:rPr>
      </w:pPr>
    </w:p>
    <w:p w14:paraId="081533B2">
      <w:pPr>
        <w:pStyle w:val="2"/>
        <w:rPr>
          <w:rStyle w:val="9"/>
          <w:rFonts w:hint="default" w:asciiTheme="minorEastAsia" w:hAnsiTheme="minorEastAsia" w:eastAsiaTheme="minorEastAsia" w:cstheme="minorEastAsia"/>
          <w:sz w:val="22"/>
          <w:szCs w:val="22"/>
          <w:highlight w:val="none"/>
          <w:lang w:val="en-US" w:eastAsia="zh-CN"/>
        </w:rPr>
      </w:pPr>
      <w:r>
        <w:rPr>
          <w:rStyle w:val="9"/>
          <w:rFonts w:hint="eastAsia" w:asciiTheme="minorEastAsia" w:hAnsiTheme="minorEastAsia" w:eastAsiaTheme="minorEastAsia" w:cstheme="minorEastAsia"/>
          <w:sz w:val="22"/>
          <w:szCs w:val="22"/>
          <w:highlight w:val="none"/>
          <w:lang w:val="en-US" w:eastAsia="zh-CN"/>
        </w:rPr>
        <w:t>(以下无正文)</w:t>
      </w:r>
    </w:p>
    <w:p w14:paraId="5EC5C4FC">
      <w:pPr>
        <w:rPr>
          <w:rStyle w:val="9"/>
          <w:rFonts w:hint="eastAsia" w:asciiTheme="minorEastAsia" w:hAnsiTheme="minorEastAsia" w:eastAsiaTheme="minorEastAsia" w:cstheme="minorEastAsia"/>
          <w:sz w:val="22"/>
          <w:szCs w:val="22"/>
          <w:highlight w:val="none"/>
        </w:rPr>
      </w:pPr>
    </w:p>
    <w:p w14:paraId="4CD4D386">
      <w:pPr>
        <w:pStyle w:val="2"/>
        <w:rPr>
          <w:rStyle w:val="9"/>
          <w:rFonts w:hint="eastAsia" w:asciiTheme="minorEastAsia" w:hAnsiTheme="minorEastAsia" w:eastAsiaTheme="minorEastAsia" w:cstheme="minorEastAsia"/>
          <w:sz w:val="22"/>
          <w:szCs w:val="22"/>
          <w:highlight w:val="none"/>
        </w:rPr>
      </w:pPr>
    </w:p>
    <w:p w14:paraId="07E3481B">
      <w:pPr>
        <w:rPr>
          <w:rStyle w:val="9"/>
          <w:rFonts w:hint="eastAsia" w:asciiTheme="minorEastAsia" w:hAnsiTheme="minorEastAsia" w:eastAsiaTheme="minorEastAsia" w:cstheme="minorEastAsia"/>
          <w:sz w:val="22"/>
          <w:szCs w:val="22"/>
          <w:highlight w:val="none"/>
        </w:rPr>
      </w:pPr>
    </w:p>
    <w:p w14:paraId="3A0D4642">
      <w:pPr>
        <w:pStyle w:val="2"/>
        <w:rPr>
          <w:rStyle w:val="9"/>
          <w:rFonts w:hint="eastAsia" w:asciiTheme="minorEastAsia" w:hAnsiTheme="minorEastAsia" w:eastAsiaTheme="minorEastAsia" w:cstheme="minorEastAsia"/>
          <w:sz w:val="22"/>
          <w:szCs w:val="22"/>
          <w:highlight w:val="none"/>
        </w:rPr>
      </w:pPr>
    </w:p>
    <w:p w14:paraId="3F44F27F">
      <w:pPr>
        <w:rPr>
          <w:rStyle w:val="9"/>
          <w:rFonts w:hint="eastAsia" w:asciiTheme="minorEastAsia" w:hAnsiTheme="minorEastAsia" w:eastAsiaTheme="minorEastAsia" w:cstheme="minorEastAsia"/>
          <w:sz w:val="22"/>
          <w:szCs w:val="22"/>
          <w:highlight w:val="none"/>
        </w:rPr>
      </w:pPr>
    </w:p>
    <w:p w14:paraId="4CC6460B">
      <w:pPr>
        <w:pStyle w:val="2"/>
        <w:rPr>
          <w:rStyle w:val="9"/>
          <w:rFonts w:hint="eastAsia" w:asciiTheme="minorEastAsia" w:hAnsiTheme="minorEastAsia" w:eastAsiaTheme="minorEastAsia" w:cstheme="minorEastAsia"/>
          <w:sz w:val="22"/>
          <w:szCs w:val="22"/>
          <w:highlight w:val="none"/>
        </w:rPr>
      </w:pPr>
    </w:p>
    <w:p w14:paraId="201AF326">
      <w:pPr>
        <w:rPr>
          <w:rStyle w:val="9"/>
          <w:rFonts w:hint="eastAsia" w:asciiTheme="minorEastAsia" w:hAnsiTheme="minorEastAsia" w:eastAsiaTheme="minorEastAsia" w:cstheme="minorEastAsia"/>
          <w:sz w:val="22"/>
          <w:szCs w:val="22"/>
          <w:highlight w:val="none"/>
        </w:rPr>
      </w:pPr>
    </w:p>
    <w:p w14:paraId="5BD11A49">
      <w:pPr>
        <w:pStyle w:val="2"/>
        <w:rPr>
          <w:rStyle w:val="9"/>
          <w:rFonts w:hint="eastAsia" w:asciiTheme="minorEastAsia" w:hAnsiTheme="minorEastAsia" w:eastAsiaTheme="minorEastAsia" w:cstheme="minorEastAsia"/>
          <w:sz w:val="22"/>
          <w:szCs w:val="22"/>
          <w:highlight w:val="none"/>
        </w:rPr>
      </w:pPr>
    </w:p>
    <w:p w14:paraId="2F5789CB">
      <w:pPr>
        <w:rPr>
          <w:rStyle w:val="9"/>
          <w:rFonts w:hint="eastAsia" w:asciiTheme="minorEastAsia" w:hAnsiTheme="minorEastAsia" w:eastAsiaTheme="minorEastAsia" w:cstheme="minorEastAsia"/>
          <w:sz w:val="22"/>
          <w:szCs w:val="22"/>
          <w:highlight w:val="none"/>
        </w:rPr>
      </w:pPr>
    </w:p>
    <w:p w14:paraId="6258300A">
      <w:pPr>
        <w:pStyle w:val="2"/>
        <w:rPr>
          <w:rStyle w:val="9"/>
          <w:rFonts w:hint="eastAsia" w:asciiTheme="minorEastAsia" w:hAnsiTheme="minorEastAsia" w:eastAsiaTheme="minorEastAsia" w:cstheme="minorEastAsia"/>
          <w:sz w:val="22"/>
          <w:szCs w:val="22"/>
          <w:highlight w:val="none"/>
        </w:rPr>
      </w:pPr>
    </w:p>
    <w:p w14:paraId="6BBF5C25">
      <w:pPr>
        <w:rPr>
          <w:rStyle w:val="9"/>
          <w:rFonts w:hint="eastAsia" w:asciiTheme="minorEastAsia" w:hAnsiTheme="minorEastAsia" w:eastAsiaTheme="minorEastAsia" w:cstheme="minorEastAsia"/>
          <w:sz w:val="22"/>
          <w:szCs w:val="22"/>
          <w:highlight w:val="none"/>
        </w:rPr>
      </w:pPr>
    </w:p>
    <w:p w14:paraId="15D87003">
      <w:pPr>
        <w:pStyle w:val="2"/>
        <w:rPr>
          <w:rFonts w:hint="eastAsia"/>
        </w:rPr>
      </w:pPr>
    </w:p>
    <w:tbl>
      <w:tblPr>
        <w:tblStyle w:val="4"/>
        <w:tblW w:w="8403" w:type="dxa"/>
        <w:jc w:val="center"/>
        <w:tblLayout w:type="fixed"/>
        <w:tblCellMar>
          <w:top w:w="0" w:type="dxa"/>
          <w:left w:w="0" w:type="dxa"/>
          <w:bottom w:w="0" w:type="dxa"/>
          <w:right w:w="0" w:type="dxa"/>
        </w:tblCellMar>
      </w:tblPr>
      <w:tblGrid>
        <w:gridCol w:w="4201"/>
        <w:gridCol w:w="4202"/>
      </w:tblGrid>
      <w:tr w14:paraId="14CE5D8D">
        <w:tblPrEx>
          <w:tblCellMar>
            <w:top w:w="0" w:type="dxa"/>
            <w:left w:w="0" w:type="dxa"/>
            <w:bottom w:w="0" w:type="dxa"/>
            <w:right w:w="0" w:type="dxa"/>
          </w:tblCellMar>
        </w:tblPrEx>
        <w:trPr>
          <w:trHeight w:val="567" w:hRule="exact"/>
          <w:jc w:val="center"/>
        </w:trPr>
        <w:tc>
          <w:tcPr>
            <w:tcW w:w="4201" w:type="dxa"/>
            <w:vAlign w:val="center"/>
          </w:tcPr>
          <w:p w14:paraId="7D98B27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甲  方：</w:t>
            </w:r>
          </w:p>
        </w:tc>
        <w:tc>
          <w:tcPr>
            <w:tcW w:w="4202" w:type="dxa"/>
            <w:vAlign w:val="center"/>
          </w:tcPr>
          <w:p w14:paraId="735183F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乙  方：</w:t>
            </w:r>
          </w:p>
        </w:tc>
      </w:tr>
      <w:tr w14:paraId="70103A0F">
        <w:tblPrEx>
          <w:tblCellMar>
            <w:top w:w="0" w:type="dxa"/>
            <w:left w:w="0" w:type="dxa"/>
            <w:bottom w:w="0" w:type="dxa"/>
            <w:right w:w="0" w:type="dxa"/>
          </w:tblCellMar>
        </w:tblPrEx>
        <w:trPr>
          <w:trHeight w:val="567" w:hRule="exact"/>
          <w:jc w:val="center"/>
        </w:trPr>
        <w:tc>
          <w:tcPr>
            <w:tcW w:w="4201" w:type="dxa"/>
            <w:vAlign w:val="center"/>
          </w:tcPr>
          <w:p w14:paraId="0745605C">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c>
          <w:tcPr>
            <w:tcW w:w="4202" w:type="dxa"/>
            <w:vAlign w:val="center"/>
          </w:tcPr>
          <w:p w14:paraId="5838773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r>
      <w:tr w14:paraId="776ABA83">
        <w:tblPrEx>
          <w:tblCellMar>
            <w:top w:w="0" w:type="dxa"/>
            <w:left w:w="0" w:type="dxa"/>
            <w:bottom w:w="0" w:type="dxa"/>
            <w:right w:w="0" w:type="dxa"/>
          </w:tblCellMar>
        </w:tblPrEx>
        <w:trPr>
          <w:trHeight w:val="567" w:hRule="exact"/>
          <w:jc w:val="center"/>
        </w:trPr>
        <w:tc>
          <w:tcPr>
            <w:tcW w:w="4201" w:type="dxa"/>
            <w:vAlign w:val="center"/>
          </w:tcPr>
          <w:p w14:paraId="45585BF9">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地址： </w:t>
            </w:r>
          </w:p>
        </w:tc>
        <w:tc>
          <w:tcPr>
            <w:tcW w:w="4202" w:type="dxa"/>
            <w:vAlign w:val="center"/>
          </w:tcPr>
          <w:p w14:paraId="737DDC5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地址：</w:t>
            </w:r>
          </w:p>
        </w:tc>
      </w:tr>
      <w:tr w14:paraId="3DB4C3C6">
        <w:tblPrEx>
          <w:tblCellMar>
            <w:top w:w="0" w:type="dxa"/>
            <w:left w:w="0" w:type="dxa"/>
            <w:bottom w:w="0" w:type="dxa"/>
            <w:right w:w="0" w:type="dxa"/>
          </w:tblCellMar>
        </w:tblPrEx>
        <w:trPr>
          <w:trHeight w:val="567" w:hRule="exact"/>
          <w:jc w:val="center"/>
        </w:trPr>
        <w:tc>
          <w:tcPr>
            <w:tcW w:w="4201" w:type="dxa"/>
            <w:vAlign w:val="center"/>
          </w:tcPr>
          <w:p w14:paraId="570C56B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法定代表人： </w:t>
            </w:r>
          </w:p>
        </w:tc>
        <w:tc>
          <w:tcPr>
            <w:tcW w:w="4202" w:type="dxa"/>
            <w:vAlign w:val="center"/>
          </w:tcPr>
          <w:p w14:paraId="0E197E9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法定代表人：</w:t>
            </w:r>
          </w:p>
        </w:tc>
      </w:tr>
      <w:tr w14:paraId="173510B6">
        <w:tblPrEx>
          <w:tblCellMar>
            <w:top w:w="0" w:type="dxa"/>
            <w:left w:w="0" w:type="dxa"/>
            <w:bottom w:w="0" w:type="dxa"/>
            <w:right w:w="0" w:type="dxa"/>
          </w:tblCellMar>
        </w:tblPrEx>
        <w:trPr>
          <w:trHeight w:val="567" w:hRule="exact"/>
          <w:jc w:val="center"/>
        </w:trPr>
        <w:tc>
          <w:tcPr>
            <w:tcW w:w="4201" w:type="dxa"/>
            <w:vAlign w:val="center"/>
          </w:tcPr>
          <w:p w14:paraId="72ACAEF0">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c>
          <w:tcPr>
            <w:tcW w:w="4202" w:type="dxa"/>
            <w:vAlign w:val="center"/>
          </w:tcPr>
          <w:p w14:paraId="2F4B9DE7">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r>
      <w:tr w14:paraId="1DCAF533">
        <w:tblPrEx>
          <w:tblCellMar>
            <w:top w:w="0" w:type="dxa"/>
            <w:left w:w="0" w:type="dxa"/>
            <w:bottom w:w="0" w:type="dxa"/>
            <w:right w:w="0" w:type="dxa"/>
          </w:tblCellMar>
        </w:tblPrEx>
        <w:trPr>
          <w:trHeight w:val="567" w:hRule="exact"/>
          <w:jc w:val="center"/>
        </w:trPr>
        <w:tc>
          <w:tcPr>
            <w:tcW w:w="4201" w:type="dxa"/>
            <w:vAlign w:val="center"/>
          </w:tcPr>
          <w:p w14:paraId="670DB971">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c>
          <w:tcPr>
            <w:tcW w:w="4202" w:type="dxa"/>
            <w:vAlign w:val="center"/>
          </w:tcPr>
          <w:p w14:paraId="668B95E6">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r>
      <w:tr w14:paraId="132AA12A">
        <w:tblPrEx>
          <w:tblCellMar>
            <w:top w:w="0" w:type="dxa"/>
            <w:left w:w="0" w:type="dxa"/>
            <w:bottom w:w="0" w:type="dxa"/>
            <w:right w:w="0" w:type="dxa"/>
          </w:tblCellMar>
        </w:tblPrEx>
        <w:trPr>
          <w:trHeight w:val="567" w:hRule="exact"/>
          <w:jc w:val="center"/>
        </w:trPr>
        <w:tc>
          <w:tcPr>
            <w:tcW w:w="4201" w:type="dxa"/>
            <w:vAlign w:val="center"/>
          </w:tcPr>
          <w:p w14:paraId="6229D2BC">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c>
          <w:tcPr>
            <w:tcW w:w="4202" w:type="dxa"/>
            <w:vAlign w:val="center"/>
          </w:tcPr>
          <w:p w14:paraId="3EAF6C9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r>
      <w:tr w14:paraId="71C89C27">
        <w:tblPrEx>
          <w:tblCellMar>
            <w:top w:w="0" w:type="dxa"/>
            <w:left w:w="0" w:type="dxa"/>
            <w:bottom w:w="0" w:type="dxa"/>
            <w:right w:w="0" w:type="dxa"/>
          </w:tblCellMar>
        </w:tblPrEx>
        <w:trPr>
          <w:trHeight w:val="567" w:hRule="exact"/>
          <w:jc w:val="center"/>
        </w:trPr>
        <w:tc>
          <w:tcPr>
            <w:tcW w:w="4201" w:type="dxa"/>
            <w:vAlign w:val="center"/>
          </w:tcPr>
          <w:p w14:paraId="551448CF">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c>
          <w:tcPr>
            <w:tcW w:w="4202" w:type="dxa"/>
            <w:vAlign w:val="center"/>
          </w:tcPr>
          <w:p w14:paraId="2933701F">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r>
    </w:tbl>
    <w:p w14:paraId="517EA1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EF69D"/>
    <w:multiLevelType w:val="singleLevel"/>
    <w:tmpl w:val="B19EF69D"/>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BDC712C"/>
    <w:rsid w:val="1D3E49FF"/>
    <w:rsid w:val="4BDC712C"/>
    <w:rsid w:val="775F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lang w:val="en-US" w:eastAsia="zh-CN" w:bidi="ar-SA"/>
    </w:rPr>
  </w:style>
  <w:style w:type="paragraph" w:styleId="3">
    <w:name w:val="footer"/>
    <w:basedOn w:val="1"/>
    <w:next w:val="2"/>
    <w:qFormat/>
    <w:uiPriority w:val="0"/>
    <w:pPr>
      <w:tabs>
        <w:tab w:val="center" w:pos="4153"/>
        <w:tab w:val="right" w:pos="8306"/>
      </w:tabs>
      <w:snapToGrid w:val="0"/>
      <w:jc w:val="left"/>
    </w:pPr>
    <w:rPr>
      <w:sz w:val="18"/>
    </w:rPr>
  </w:style>
  <w:style w:type="paragraph" w:customStyle="1" w:styleId="6">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7">
    <w:name w:val="表格文字"/>
    <w:basedOn w:val="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autoRedefine/>
    <w:qFormat/>
    <w:uiPriority w:val="0"/>
  </w:style>
  <w:style w:type="paragraph" w:customStyle="1" w:styleId="10">
    <w:name w:val="Body text|1"/>
    <w:basedOn w:val="1"/>
    <w:qFormat/>
    <w:uiPriority w:val="0"/>
    <w:pPr>
      <w:spacing w:line="396"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1739</Words>
  <Characters>1776</Characters>
  <Lines>0</Lines>
  <Paragraphs>0</Paragraphs>
  <TotalTime>1</TotalTime>
  <ScaleCrop>false</ScaleCrop>
  <LinksUpToDate>false</LinksUpToDate>
  <CharactersWithSpaces>1913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2024-11-08T02:08:00Z</dcterms:created>
  <dc:creator>Administrator</dc:creator>
  <cp:lastModifiedBy>Lip</cp:lastModifiedBy>
  <dcterms:modified xsi:type="dcterms:W3CDTF">2025-10-29T06:03:34Z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238812AF30514AD0AD9F9BFF9E2E68AD_11</vt:lpwstr>
  </property>
  <property fmtid="{D5CDD505-2E9C-101B-9397-08002B2CF9AE}" pid="4" name="KSOTemplateDocerSaveRecord">
    <vt:lpwstr>eyJoZGlkIjoiOWNlZGE5ZGY4NWE0ZjE2YzIyYzhkMTQzN2VmZTI3YWQiLCJ1c2VySWQiOiIzNjE2NDM3ODMifQ==</vt:lpwstr>
  </property>
</Properties>
</file>