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8F9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</w:pPr>
      <w:bookmarkStart w:id="14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  <w:t>合同主要条款偏离表</w:t>
      </w:r>
      <w:bookmarkEnd w:id="14"/>
    </w:p>
    <w:p w14:paraId="05C9CB45">
      <w:pPr>
        <w:spacing w:line="360" w:lineRule="auto"/>
        <w:ind w:right="-197" w:rightChars="-9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  <w:t xml:space="preserve">项目编号：                                    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678"/>
        <w:gridCol w:w="840"/>
        <w:gridCol w:w="1731"/>
      </w:tblGrid>
      <w:tr w14:paraId="587229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 w:val="0"/>
            <w:vAlign w:val="center"/>
          </w:tcPr>
          <w:p w14:paraId="05ABCF12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 w14:paraId="7208B064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 w14:paraId="0F0B338E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341" w:type="dxa"/>
            <w:noWrap w:val="0"/>
            <w:vAlign w:val="center"/>
          </w:tcPr>
          <w:p w14:paraId="5C29E79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谈判采购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 w14:paraId="2CD18F2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合同主要条款</w:t>
            </w:r>
          </w:p>
          <w:p w14:paraId="3AA28D94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678" w:type="dxa"/>
            <w:noWrap w:val="0"/>
            <w:vAlign w:val="center"/>
          </w:tcPr>
          <w:p w14:paraId="32D525C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 w14:paraId="27D98748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合同主要条款</w:t>
            </w:r>
          </w:p>
          <w:p w14:paraId="40D0BB7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840" w:type="dxa"/>
            <w:noWrap w:val="0"/>
            <w:vAlign w:val="center"/>
          </w:tcPr>
          <w:p w14:paraId="2C73A828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731" w:type="dxa"/>
            <w:noWrap w:val="0"/>
            <w:vAlign w:val="center"/>
          </w:tcPr>
          <w:p w14:paraId="36B115A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  <w:p w14:paraId="5058BE31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及其影响</w:t>
            </w:r>
          </w:p>
        </w:tc>
      </w:tr>
      <w:tr w14:paraId="504720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4907792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346379B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1B4A338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7A8EC9C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1604DA6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63BA7A0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B0040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322052F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28767E0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71FBB2F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7E965F4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4BDEC27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072EAEE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13DF5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281C55D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25A24D5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66441D7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3C764EC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0CB05CE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0474A63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F377A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2CB1690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3DF0C40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26F0A39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20BC6AB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772C524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5C9DB9A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52547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2660AEF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2A0A568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21C00A8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146AD0B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2C441A5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1A14347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95962C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</w:p>
    <w:p w14:paraId="47B6AECC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文件中与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谈判采购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文件有偏离（包括负偏离和正偏离）的内容，在响应文件中须一一列出，无偏离可以不写，但须提供空白表。</w:t>
      </w:r>
    </w:p>
    <w:p w14:paraId="644395DA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必须据实填写，不得虚假响应，否则将取消其投标或中标资格，并按有关规定进处罚。</w:t>
      </w:r>
    </w:p>
    <w:p w14:paraId="4E0162B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C868286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Toc2566"/>
      <w:bookmarkStart w:id="1" w:name="_Toc31736"/>
      <w:bookmarkStart w:id="2" w:name="_Toc17397"/>
      <w:bookmarkStart w:id="3" w:name="_Toc12016"/>
      <w:bookmarkStart w:id="4" w:name="_Toc26846"/>
      <w:bookmarkStart w:id="5" w:name="_Toc18203"/>
      <w:bookmarkStart w:id="6" w:name="_Toc21290"/>
      <w:bookmarkStart w:id="7" w:name="_Toc26424"/>
      <w:bookmarkStart w:id="8" w:name="_Toc2298"/>
      <w:bookmarkStart w:id="9" w:name="_Toc32190"/>
      <w:bookmarkStart w:id="10" w:name="_Toc16548"/>
      <w:bookmarkStart w:id="11" w:name="_Toc15409"/>
      <w:bookmarkStart w:id="12" w:name="_Toc8697"/>
      <w:bookmarkStart w:id="13" w:name="_Toc15517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6D7B0997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（签字或盖章）</w:t>
      </w:r>
    </w:p>
    <w:p w14:paraId="497E54B5">
      <w:pPr>
        <w:spacing w:line="360" w:lineRule="auto"/>
        <w:ind w:left="0" w:leftChars="0" w:firstLine="4200" w:firstLineChars="1750"/>
        <w:outlineLvl w:val="9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D3591">
    <w:pPr>
      <w:pStyle w:val="15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75F7F48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75F7F48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87CA13C">
                          <w:pPr>
                            <w:pStyle w:val="15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87CA13C">
                    <w:pPr>
                      <w:pStyle w:val="15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A5303B"/>
    <w:multiLevelType w:val="singleLevel"/>
    <w:tmpl w:val="C1A5303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3C82EBD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5E612F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711C07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7845E0"/>
    <w:rsid w:val="6BF01A2A"/>
    <w:rsid w:val="6C573973"/>
    <w:rsid w:val="6D2E3635"/>
    <w:rsid w:val="6D8F1939"/>
    <w:rsid w:val="6E5839D5"/>
    <w:rsid w:val="6E5E65A2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2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List Continue"/>
    <w:basedOn w:val="1"/>
    <w:next w:val="13"/>
    <w:qFormat/>
    <w:uiPriority w:val="0"/>
    <w:pPr>
      <w:ind w:left="720" w:right="720" w:firstLine="0"/>
    </w:pPr>
  </w:style>
  <w:style w:type="paragraph" w:styleId="15">
    <w:name w:val="footer"/>
    <w:basedOn w:val="1"/>
    <w:next w:val="14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5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3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2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2025-11-14T06:23:28Z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96FCA896BE5B40C4B412B4FC3F9E8ABA_13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