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版本号：SXJK-2025-06120251104001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法律服务采购项目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SXJK-2025-061</w:t>
      </w:r>
      <w:r>
        <w:br/>
      </w:r>
      <w:r>
        <w:br/>
      </w:r>
      <w:r>
        <w:br/>
      </w:r>
    </w:p>
    <w:p>
      <w:pPr>
        <w:pStyle w:val="null3"/>
        <w:jc w:val="center"/>
        <w:outlineLvl w:val="2"/>
      </w:pPr>
      <w:r>
        <w:rPr>
          <w:rFonts w:ascii="仿宋_GB2312" w:hAnsi="仿宋_GB2312" w:cs="仿宋_GB2312" w:eastAsia="仿宋_GB2312"/>
          <w:sz w:val="28"/>
          <w:b/>
        </w:rPr>
        <w:t>西安国家民用航天产业基地城市更新发展服务中心</w:t>
      </w:r>
    </w:p>
    <w:p>
      <w:pPr>
        <w:pStyle w:val="null3"/>
        <w:jc w:val="center"/>
        <w:outlineLvl w:val="2"/>
      </w:pPr>
      <w:r>
        <w:rPr>
          <w:rFonts w:ascii="仿宋_GB2312" w:hAnsi="仿宋_GB2312" w:cs="仿宋_GB2312" w:eastAsia="仿宋_GB2312"/>
          <w:sz w:val="28"/>
          <w:b/>
        </w:rPr>
        <w:t>陕西健坤工程造价咨询有限公司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陕西健坤工程造价咨询有限公司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委托，拟对</w:t>
      </w:r>
      <w:r>
        <w:rPr>
          <w:rFonts w:ascii="仿宋_GB2312" w:hAnsi="仿宋_GB2312" w:cs="仿宋_GB2312" w:eastAsia="仿宋_GB2312"/>
        </w:rPr>
        <w:t>法律服务采购项目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SXJK-2025-061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法律服务采购项目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一家律师事务所,为采购人与陕西建工第三建设集团有限公司之间拆迁合同纠纷仲裁案件事宜提供法律服务，本次供应商服务期限自合同签订之日起至仲裁程序终结（包括仲裁裁决结案、和解调解结案或撤诉结案）之日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营业执照、其他组织经营的合法凭证，自然人的提供身份证明文件）：具有独立承担民事责任的能力。提供注册登记凭证（营业执照、其他组织经营的合法凭证，自然人的提供身份证明文件），供应商需在项目电子化交易系统中按要求上传相应证明文件并进行电子签章</w:t>
      </w:r>
    </w:p>
    <w:p>
      <w:pPr>
        <w:pStyle w:val="null3"/>
      </w:pPr>
      <w:r>
        <w:rPr>
          <w:rFonts w:ascii="仿宋_GB2312" w:hAnsi="仿宋_GB2312" w:cs="仿宋_GB2312" w:eastAsia="仿宋_GB2312"/>
        </w:rPr>
        <w:t>2、供应商在本项目磋商响应文件递交截止时间前十二个月内任意一个月的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提供2024年度经审计的完整财务报告（成立时间至提交投标文件递交截止时间不足一年的可提供成立后任意时段的资产负债表），或其银行基本账户出具的资信证明（资信证明需提供投标截止时间前6个月内）：提供2024年度经审计的完整财务报告（成立时间至提交投标文件递交截止时间不足一年的可提供成立后任意时段的资产负债表），或其银行基本账户出具的资信证明（资信证明需提供投标截止时间前6个月内），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供应商需在项目电子化交易系统中按要求上传相应证明文件并进行电子签章）格式详见后附供应商书面声明函</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供应商需在项目电子化交易系统中按要求上传相应证明文件并进行电子签章）格式详见后附供应商书面声明函</w:t>
      </w:r>
    </w:p>
    <w:p>
      <w:pPr>
        <w:pStyle w:val="null3"/>
      </w:pPr>
      <w:r>
        <w:rPr>
          <w:rFonts w:ascii="仿宋_GB2312" w:hAnsi="仿宋_GB2312" w:cs="仿宋_GB2312" w:eastAsia="仿宋_GB2312"/>
        </w:rPr>
        <w:t>6、供应商须具备合法有效的律师事务所执业许可证：供应商须具备合法有效的律师事务所执业许可证，供应商需在项目电子化交易系统中按要求上传相应证明文件并进行电子签章）格式详见后附供应商书面声明函</w:t>
      </w:r>
    </w:p>
    <w:p>
      <w:pPr>
        <w:pStyle w:val="null3"/>
      </w:pPr>
      <w:r>
        <w:rPr>
          <w:rFonts w:ascii="仿宋_GB2312" w:hAnsi="仿宋_GB2312" w:cs="仿宋_GB2312" w:eastAsia="仿宋_GB2312"/>
        </w:rPr>
        <w:t>7、合法授权：法定代表人授权书（法定代表人直接参加磋商，须提供法定代表人身份证明）注：被授权人参与磋商时，须提供被授权人近六个月内任意一个月在本单位缴纳的社保证明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8、不得为“信用中国”网站（www.cre ditchina.gov.cn）中列入失信被执行人和重大税收违法失信主体的供应商，不得为中国政府采购网（w ww.ccgp.gov.cn）政府采购严重违法失信行为记录名单中被财政部门禁止参加政府采购活动的供应商。：不得为“信用中国”网站（www.cre ditchina.gov.cn）中列入失信被执行人和重大税收违法失信主体的供应商，不得为中国政府采购网（w 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西安国家民用航天产业基地城市更新发展服务中心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航天中路东段398号寰宇大厦西侧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029-85640619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陕西健坤工程造价咨询有限公司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西安市高新区逸翠园i都会4号楼一单元1024室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13092972064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开户名称：陕西健坤工程造价咨询有限公司 开户银行：招商银行股份有限公司西安高新技术开发区支行 账号：129904308510802 （备注：项目名称+项目编号+包号+代理服务费） 3、领取中标通知书前，需提供与电子版一致的响应文件3份，胶装成册。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和</w:t>
      </w:r>
      <w:r>
        <w:rPr>
          <w:rFonts w:ascii="仿宋_GB2312" w:hAnsi="仿宋_GB2312" w:cs="仿宋_GB2312" w:eastAsia="仿宋_GB2312"/>
        </w:rPr>
        <w:t>陕西健坤工程造价咨询有限公司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陕西健坤工程造价咨询有限公司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陕西健坤工程造价咨询有限公司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联系人：刘工、张工</w:t>
      </w:r>
    </w:p>
    <w:p>
      <w:pPr>
        <w:pStyle w:val="null3"/>
      </w:pPr>
      <w:r>
        <w:rPr>
          <w:rFonts w:ascii="仿宋_GB2312" w:hAnsi="仿宋_GB2312" w:cs="仿宋_GB2312" w:eastAsia="仿宋_GB2312"/>
        </w:rPr>
        <w:t>联系电话：13092972064</w:t>
      </w:r>
    </w:p>
    <w:p>
      <w:pPr>
        <w:pStyle w:val="null3"/>
      </w:pPr>
      <w:r>
        <w:rPr>
          <w:rFonts w:ascii="仿宋_GB2312" w:hAnsi="仿宋_GB2312" w:cs="仿宋_GB2312" w:eastAsia="仿宋_GB2312"/>
        </w:rPr>
        <w:t>地址：西安市高新区逸翠园i都会4号楼一单元1024室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家律师事务所,为采购人与陕西建工第三建设集团有限公司之间拆迁合同纠纷仲裁案件事宜提供法律服务，本次供应商服务期限自合同签订之日起至仲裁程序终结（包括仲裁裁决结案、和解调解结案或撤诉结案）之日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陕建仲裁法律服务项目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标的名称：陕建仲裁法律服务项目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0"/>
              <w:jc w:val="both"/>
            </w:pPr>
            <w:r>
              <w:rPr>
                <w:rFonts w:ascii="仿宋_GB2312" w:hAnsi="仿宋_GB2312" w:cs="仿宋_GB2312" w:eastAsia="仿宋_GB2312"/>
                <w:sz w:val="21"/>
              </w:rPr>
              <w:t>为应对与陕西建工第三建设集团有限公司之间拆迁合同纠纷仲裁案件，维护采购人合法权益，拟委托专业律师团队提供仲裁代理法律服务。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0"/>
              <w:jc w:val="both"/>
            </w:pPr>
            <w:r>
              <w:rPr>
                <w:rFonts w:ascii="仿宋_GB2312" w:hAnsi="仿宋_GB2312" w:cs="仿宋_GB2312" w:eastAsia="仿宋_GB2312"/>
                <w:sz w:val="21"/>
              </w:rPr>
              <w:t>为采购人与陕西建工第三建设集团有限公司之间拆迁合同纠纷仲裁案件事宜提供法律服务，本次供应商服务期限自合同签订之日起至仲裁程序终结（包括仲裁裁决结案、和解调解结案或撤诉结案）之日止。提供的法律服务内容具体为以下四方面：</w:t>
            </w:r>
          </w:p>
          <w:p>
            <w:pPr>
              <w:pStyle w:val="null3"/>
              <w:ind w:firstLine="420"/>
              <w:jc w:val="both"/>
            </w:pPr>
            <w:r>
              <w:rPr>
                <w:rFonts w:ascii="仿宋_GB2312" w:hAnsi="仿宋_GB2312" w:cs="仿宋_GB2312" w:eastAsia="仿宋_GB2312"/>
                <w:sz w:val="21"/>
              </w:rPr>
              <w:t>（一）证据收集工作：协助采购人收集与本案的相关证据，梳理案件事实。</w:t>
            </w:r>
          </w:p>
          <w:p>
            <w:pPr>
              <w:pStyle w:val="null3"/>
              <w:ind w:firstLine="420"/>
              <w:jc w:val="both"/>
            </w:pPr>
            <w:r>
              <w:rPr>
                <w:rFonts w:ascii="仿宋_GB2312" w:hAnsi="仿宋_GB2312" w:cs="仿宋_GB2312" w:eastAsia="仿宋_GB2312"/>
                <w:sz w:val="21"/>
              </w:rPr>
              <w:t>（二）仲裁策略制定：对案件进行全面分析，向采购人示案件的相关风险、制定仲裁实施方案、实时解答采购人提出的法律咨询问题、根据采购人需求出具法律意见、准备仲裁材料、把握仲裁进度等，根据仲裁情况动态调整仲裁思路，根据案件进展情况灵活应变。</w:t>
            </w:r>
          </w:p>
          <w:p>
            <w:pPr>
              <w:pStyle w:val="null3"/>
              <w:ind w:firstLine="420"/>
              <w:jc w:val="both"/>
            </w:pPr>
            <w:r>
              <w:rPr>
                <w:rFonts w:ascii="仿宋_GB2312" w:hAnsi="仿宋_GB2312" w:cs="仿宋_GB2312" w:eastAsia="仿宋_GB2312"/>
                <w:sz w:val="21"/>
              </w:rPr>
              <w:t>（三）仲裁程序代理服务：代理期间自双方签署合同至仲裁程序终结。在此期间完成起答辩状、证据材料等相关法律文件的起草、准备工作，并出庭代理采购人参与庭审，提供法律意见和建议，在采购人授权范围内完成仲裁案件的谈判、协调、调解工作。</w:t>
            </w:r>
          </w:p>
          <w:p>
            <w:pPr>
              <w:pStyle w:val="null3"/>
              <w:ind w:firstLine="200"/>
              <w:jc w:val="both"/>
            </w:pPr>
            <w:r>
              <w:rPr>
                <w:rFonts w:ascii="仿宋_GB2312" w:hAnsi="仿宋_GB2312" w:cs="仿宋_GB2312" w:eastAsia="仿宋_GB2312"/>
                <w:sz w:val="21"/>
              </w:rPr>
              <w:t>（四）就案件进度定期汇报，仲裁裁决作出后移交案件档案一套。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自合同签订之日起至仲裁程序终结（包括仲裁裁决结案、和解调解结案或撤诉结案）之日止。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按法规和行业标准，为采购人提供合格的证据收集工作、仲裁策略制定、仲裁程序代理服务、就案件进度定期汇报，仲裁裁决作出后移交案件档案一套。</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本案仲裁程序结束后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1.合同一方违约的，双方应积极采取适当措施阻止损失扩大，否则不得就扩大部分的损失要求赔偿；违约方应当承担对方为阻止损失扩大而支付的合理费用。 2.政府政策重大变化、不可抗力以及其他无法归究于双方的原因造成的损失，依照有关法规和公平原则双方协商解决。3.乙方违反保密义务给甲方造成损失的，赔偿甲方因此造成的全部损失。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一、需要落实的政府采购政策： （1）《政府采购促进中小企业发展管理办法》（财库〔2020〕46号）； （2）《财政 部司法部关于政府采购支持监狱企业发展有关问题的通知》（财库〔2014〕68 号）； （3）《国务院办公厅关于建立政府 强制采购节能产品制度的通知》（国发办〔2007〕51号）； （4）《三部门联合发布关于促进残疾人就业政府采购政策的通 知》（财库〔2017〕141号）； （5）《财政部发展改革委生态环境部市场监管总局关于调整优化节能产品、环境标志产品 政府采购执行机制的通知》（财库〔2019〕9号）； （6）陕西省财政厅关于印发《陕西省中小企业政府采购信用融资办 法》（陕财办采〔2018〕23号）； （7）《财政部农业农村部国家乡村振兴局关于运用政府采购政策支持乡村产业振兴的通 知》（财库〔2021〕19号）； （8）《财政部农业农村部国家 乡村振兴局 中华全国供销合作总社关于印发&lt;关于深入开展 政府采购脱贫地区农副产品工作推进乡村产业振兴的实施意见&gt;的通知》（财库〔2021〕20 号）； （9）《陕西省财政厅关 于进一步加强政府绿色采购有关问题的通知》（陕财办采〔2021〕29 号）； （10）《财政部关于在政府采购活动中落实平 等对待内外资企业有关政策的通知》（财 库〔2021〕35 号）； （11）陕西省财政厅《关于加快推进我省中小企业政府采购 信用融资工作的通知》（陕财办采〔2020〕15 号）； （12）《关于进一步加大政府采购支持中小企业力度的通知》（财库 〔2022〕19号）； （13）如有最新颁布的政府采购政策，按最新的文件执行。 二、供应商务必在开标截止时间30分钟前， 通过项目电子化交易系统进行签到，如未进行签到，产生的一起后果由供应商自行承担。三、报价说明：报价包含全部成本、 利润、税金和风险。 特别提示！！！！！ 四、本项目中标单位在本项目中标公告发布之日起3个工作日内，线下提交投标文 件正本一份、副本两份、电子版一份。线下递交文件地点：西安市高新区逸翠园i都会4号楼一单元1024室。五、根据工信部答复，律师事务所是根据《律师事务所管理办法》设立的非企业，不适用《中小企业化型标准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具有独立承担民事责任的能力。提供注册登记凭证（营业执照、其他组织经营的合法凭证，自然人的提供身份证明文件）</w:t>
            </w:r>
          </w:p>
        </w:tc>
        <w:tc>
          <w:tcPr>
            <w:tcW w:type="dxa" w:w="3322"/>
          </w:tcPr>
          <w:p>
            <w:pPr>
              <w:pStyle w:val="null3"/>
            </w:pPr>
            <w:r>
              <w:rPr>
                <w:rFonts w:ascii="仿宋_GB2312" w:hAnsi="仿宋_GB2312" w:cs="仿宋_GB2312" w:eastAsia="仿宋_GB2312"/>
              </w:rPr>
              <w:t>具有独立承担民事责任的能力。提供注册登记凭证（营业执照、其他组织经营的合法凭证，自然人的提供身份证明文件），供应商需在项目电子化交易系统中按要求上传相应证明文件并进行电子签章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提供2024年度经审计的完整财务报告（成立时间至提交投标文件递交截止时间不足一年的可提供成立后任意时段的资产负债表），或其银行基本账户出具的资信证明（资信证明需提供投标截止时间前6个月内）</w:t>
            </w:r>
          </w:p>
        </w:tc>
        <w:tc>
          <w:tcPr>
            <w:tcW w:type="dxa" w:w="3322"/>
          </w:tcPr>
          <w:p>
            <w:pPr>
              <w:pStyle w:val="null3"/>
            </w:pPr>
            <w:r>
              <w:rPr>
                <w:rFonts w:ascii="仿宋_GB2312" w:hAnsi="仿宋_GB2312" w:cs="仿宋_GB2312" w:eastAsia="仿宋_GB2312"/>
              </w:rPr>
              <w:t>提供2024年度经审计的完整财务报告（成立时间至提交投标文件递交截止时间不足一年的可提供成立后任意时段的资产负债表），或其银行基本账户出具的资信证明（资信证明需提供投标截止时间前6个月内），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参加政府采购活动前3年内在经营活动中没有重大违法记录的书面声明，供应商需在项目电子化交易系统中按要求上传相应证明文件并进行电子签章）格式详见后附供应商书面声明函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具有履行合同所必需的设备和专业技术能力书面声明函，供应商需在项目电子化交易系统中按要求上传相应证明文件并进行电子签章）格式详见后附供应商书面声明函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供应商须具备合法有效的律师事务所执业许可证</w:t>
            </w:r>
          </w:p>
        </w:tc>
        <w:tc>
          <w:tcPr>
            <w:tcW w:type="dxa" w:w="3322"/>
          </w:tcPr>
          <w:p>
            <w:pPr>
              <w:pStyle w:val="null3"/>
            </w:pPr>
            <w:r>
              <w:rPr>
                <w:rFonts w:ascii="仿宋_GB2312" w:hAnsi="仿宋_GB2312" w:cs="仿宋_GB2312" w:eastAsia="仿宋_GB2312"/>
              </w:rPr>
              <w:t>供应商须具备合法有效的律师事务所执业许可证，供应商需在项目电子化交易系统中按要求上传相应证明文件并进行电子签章）格式详见后附供应商书面声明函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不得为“信用中国”网站（www.cre ditchina.gov.cn）中列入失信被执行人和重大税收违法失信主体的供应商，不得为中国政府采购网（w 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不得为“信用中国”网站（www.cre ditchina.gov.cn）中列入失信被执行人和重大税收违法失信主体的供应商，不得为中国政府采购网（w 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磋商响应文件内容齐全、无遗漏必须响应内容</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 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响应函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服务期限符合磋商文件要求</w:t>
            </w:r>
          </w:p>
        </w:tc>
        <w:tc>
          <w:tcPr>
            <w:tcW w:type="dxa" w:w="1661"/>
          </w:tcPr>
          <w:p>
            <w:pPr>
              <w:pStyle w:val="null3"/>
            </w:pPr>
            <w:r>
              <w:rPr>
                <w:rFonts w:ascii="仿宋_GB2312" w:hAnsi="仿宋_GB2312" w:cs="仿宋_GB2312" w:eastAsia="仿宋_GB2312"/>
              </w:rPr>
              <w:t>响应文件封面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评审内容：①项目背景分析；②项目服务内容的理解。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沟通协调机制</w:t>
            </w:r>
          </w:p>
        </w:tc>
        <w:tc>
          <w:tcPr>
            <w:tcW w:type="dxa" w:w="2492"/>
          </w:tcPr>
          <w:p>
            <w:pPr>
              <w:pStyle w:val="null3"/>
            </w:pPr>
            <w:r>
              <w:rPr>
                <w:rFonts w:ascii="仿宋_GB2312" w:hAnsi="仿宋_GB2312" w:cs="仿宋_GB2312" w:eastAsia="仿宋_GB2312"/>
              </w:rPr>
              <w:t>评审内容：①沟通管理体系；②程序和建议。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服务体系和工作流程</w:t>
            </w:r>
          </w:p>
        </w:tc>
        <w:tc>
          <w:tcPr>
            <w:tcW w:type="dxa" w:w="2492"/>
          </w:tcPr>
          <w:p>
            <w:pPr>
              <w:pStyle w:val="null3"/>
            </w:pPr>
            <w:r>
              <w:rPr>
                <w:rFonts w:ascii="仿宋_GB2312" w:hAnsi="仿宋_GB2312" w:cs="仿宋_GB2312" w:eastAsia="仿宋_GB2312"/>
              </w:rPr>
              <w:t>评审内容：①基础代理方案；②案件风险分析方案；③案件流程管理服务方案。 评审标准：方案内容专门针对本项目编制，切合本项目实际情况及实施要求，内容与要点相符、每个要点均有展开详细的阐述且能够适用于本项目的得12分；评审内容有缺陷（缺陷是指：内容粗略、逻辑混乱、描述过于简单、与项目特点不匹配、凭空编造、逻辑漏洞、出现常识性错误、存在不可能实现的夸大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评审内容：①质量保障措施；②廉洁、职业道德；③人事管理制度；④财务管理制度；⑤质量控制制度；⑥业务管理制度；⑦业务档案管理制度。 评审标准：方案内容专门针对本项目编制，切合本项目实际情况及实施要求，内容与要点相符、每个要点均有展开详细的阐述且能够适用于本项目的得14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项目主要人员</w:t>
            </w:r>
          </w:p>
        </w:tc>
        <w:tc>
          <w:tcPr>
            <w:tcW w:type="dxa" w:w="2492"/>
          </w:tcPr>
          <w:p>
            <w:pPr>
              <w:pStyle w:val="null3"/>
            </w:pPr>
            <w:r>
              <w:rPr>
                <w:rFonts w:ascii="仿宋_GB2312" w:hAnsi="仿宋_GB2312" w:cs="仿宋_GB2312" w:eastAsia="仿宋_GB2312"/>
              </w:rPr>
              <w:t>(1)项目负责人执业满8年以上(含8年)计4分,执业满5年以上(含5年)计2分，其他不得分； (2)为项目配备的其他执业律师工作人员，提供项目团队人员的律师执业资格证书复印件、简历，每提供1人得1分。 注:（1）以加盖供应商公章的执业证书复印件或扫描件载明执业证号第6至9位年限为准。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评审内容：①合理的人员数量配置；②人员分工责任明确；③人员经验资历丰富。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 注:有关专职人员必须与供应商有正式劳动关系，提供社保缴纳证明或劳动合同或执业证书复印件。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评审内容：①工作重点、难点分析；②重点、难点解决方案。 评审标准：方案内容专门针对本项目编制，切合本项目实际情况及实施要求，内容与要点相符、每个要点均有展开详细的阐述且能够适用于本项目的得4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评审内容：①客户信息保密措施；②员工保密管理措施；③泄密的处理及处罚措施。 评审标准：方案内容专门针对本项目编制，切合本项目实际情况及实施要求，内容与要点相符、每个要点均有展开详细的阐述且能够适用于本项目的得9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评审内容：①服务内容；②服务方式；③服务响应时间；④服务管理及质量保证。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服务配合计划</w:t>
            </w:r>
          </w:p>
        </w:tc>
        <w:tc>
          <w:tcPr>
            <w:tcW w:type="dxa" w:w="2492"/>
          </w:tcPr>
          <w:p>
            <w:pPr>
              <w:pStyle w:val="null3"/>
            </w:pPr>
            <w:r>
              <w:rPr>
                <w:rFonts w:ascii="仿宋_GB2312" w:hAnsi="仿宋_GB2312" w:cs="仿宋_GB2312" w:eastAsia="仿宋_GB2312"/>
              </w:rPr>
              <w:t>评审内容：①定期汇报服务内容；②档案管理方案。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提供2022年11月至磋商之日（以合同签订时间为准）同类项目业绩，每提供一份业绩计2分，最高计10分。（以合同复印件加盖公章为准）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 （2）磋商报价得分=（磋商基准价/最终磋商报价）×10。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