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版本号：JXD2025-ZCHT-120420251217001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航天基地范围内储备用地围墙圈建项目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JXD2025-ZCHT-1204</w:t>
      </w:r>
      <w:r>
        <w:br/>
      </w:r>
      <w:r>
        <w:br/>
      </w:r>
      <w:r>
        <w:br/>
      </w:r>
    </w:p>
    <w:p>
      <w:pPr>
        <w:pStyle w:val="null3"/>
        <w:jc w:val="center"/>
        <w:outlineLvl w:val="2"/>
      </w:pPr>
      <w:r>
        <w:rPr>
          <w:rFonts w:ascii="仿宋_GB2312" w:hAnsi="仿宋_GB2312" w:cs="仿宋_GB2312" w:eastAsia="仿宋_GB2312"/>
          <w:sz w:val="28"/>
          <w:b/>
        </w:rPr>
        <w:t>西安国家民用航天产业基地土地储备中心</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西安国家民用航天产业基地土地储备中心</w:t>
      </w:r>
      <w:r>
        <w:rPr>
          <w:rFonts w:ascii="仿宋_GB2312" w:hAnsi="仿宋_GB2312" w:cs="仿宋_GB2312" w:eastAsia="仿宋_GB2312"/>
        </w:rPr>
        <w:t>委托，拟对</w:t>
      </w:r>
      <w:r>
        <w:rPr>
          <w:rFonts w:ascii="仿宋_GB2312" w:hAnsi="仿宋_GB2312" w:cs="仿宋_GB2312" w:eastAsia="仿宋_GB2312"/>
        </w:rPr>
        <w:t>航天基地范围内储备用地围墙圈建项目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JXD2025-ZCHT-1204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航天基地范围内储备用地围墙圈建项目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航天基地范围内储备用地围墙圈建项目；主要功能或目标:全面提高基地整体环境状况；需满足的要求:新建环保石膏板预制围墙（包含一次喷涂更新），约6000米。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采购包1（航天基地范围内储备用地围墙圈建项目）：属于专门面向中小企业采购。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1、企业资质：供应商需具备建筑工程施工总承包叁级（含叁级）以上资质，具备有效的安全生产许可证</w:t>
      </w:r>
    </w:p>
    <w:p>
      <w:pPr>
        <w:pStyle w:val="null3"/>
      </w:pPr>
      <w:r>
        <w:rPr>
          <w:rFonts w:ascii="仿宋_GB2312" w:hAnsi="仿宋_GB2312" w:cs="仿宋_GB2312" w:eastAsia="仿宋_GB2312"/>
        </w:rPr>
        <w:t>2、拟派项目经理资质：拟派项目经理具备建筑工程专业贰级（含贰级）以上注册建造师资质，具备有效的安全生产考核合格证书（安全生产考核 B 类证书），且无在建工程（提供承诺书)</w:t>
      </w:r>
    </w:p>
    <w:p>
      <w:pPr>
        <w:pStyle w:val="null3"/>
      </w:pPr>
      <w:r>
        <w:rPr>
          <w:rFonts w:ascii="仿宋_GB2312" w:hAnsi="仿宋_GB2312" w:cs="仿宋_GB2312" w:eastAsia="仿宋_GB2312"/>
        </w:rPr>
        <w:t>3、授权委托书：法定代表人授权书（附法定代表人、被授权人身份证复印件）；法定代表人参加投标，须提供法定代表人身份证明（附法定代表人身份证复印件）</w:t>
      </w:r>
    </w:p>
    <w:p>
      <w:pPr>
        <w:pStyle w:val="null3"/>
      </w:pPr>
      <w:r>
        <w:rPr>
          <w:rFonts w:ascii="仿宋_GB2312" w:hAnsi="仿宋_GB2312" w:cs="仿宋_GB2312" w:eastAsia="仿宋_GB2312"/>
        </w:rPr>
        <w:t>4、信誉：供应商不得在“信用中国”（www.creditchina.gov.cn）被列入重大税收违法失信主体；不得在“中国执行信息公开网 （http://zxgk.court.gov.cn/shixin/）”被列入失信被执行人；不得为“中国政府采购网”（www.ccgp.gov.cn）政府采购严重违法失信行为记录名单中被财政部门禁止参加政府采购活动的供应商. （注：信誉情况由采购代理机构现场查询。）</w:t>
      </w:r>
    </w:p>
    <w:p>
      <w:pPr>
        <w:pStyle w:val="null3"/>
      </w:pPr>
      <w:r>
        <w:rPr>
          <w:rFonts w:ascii="仿宋_GB2312" w:hAnsi="仿宋_GB2312" w:cs="仿宋_GB2312" w:eastAsia="仿宋_GB2312"/>
        </w:rPr>
        <w:t>5、关联关系：单位负责人为同一人或者存在控股、管理关系的不同单位，都不得在本项目中同时提出投标</w:t>
      </w:r>
    </w:p>
    <w:p>
      <w:pPr>
        <w:pStyle w:val="null3"/>
      </w:pPr>
      <w:r>
        <w:rPr>
          <w:rFonts w:ascii="仿宋_GB2312" w:hAnsi="仿宋_GB2312" w:cs="仿宋_GB2312" w:eastAsia="仿宋_GB2312"/>
        </w:rPr>
        <w:t>6、本项目专门面向中小企业采购：本项目专门面向中小企业采购</w:t>
      </w:r>
    </w:p>
    <w:p>
      <w:pPr>
        <w:pStyle w:val="null3"/>
      </w:pPr>
      <w:r>
        <w:rPr>
          <w:rFonts w:ascii="仿宋_GB2312" w:hAnsi="仿宋_GB2312" w:cs="仿宋_GB2312" w:eastAsia="仿宋_GB2312"/>
        </w:rPr>
        <w:t>7、本项目不接受联合体投标：本项目不接受联合体投标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西安国家民用航天产业基地土地储备中心经办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13679292155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陕西省西安市新城区中山门街道尚爱路55号青海大厦301室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13256900872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展改革委关于进一步放开建设项目专业服务价格的通知（发改价格〔2015〕299号）的有关依据，的相关要求下浮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西安国家民用航天产业基地土地储备中心</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联系电话：13256900872</w:t>
      </w:r>
    </w:p>
    <w:p>
      <w:pPr>
        <w:pStyle w:val="null3"/>
      </w:pPr>
      <w:r>
        <w:rPr>
          <w:rFonts w:ascii="仿宋_GB2312" w:hAnsi="仿宋_GB2312" w:cs="仿宋_GB2312" w:eastAsia="仿宋_GB2312"/>
        </w:rPr>
        <w:t>地址：陕西省西安市新城区中山门街道尚爱路55号青海大厦301室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航天基地范围内储备用地围墙圈建项目；主要功能或目标:全面提高基地整体环境状况；需满足的要求:新建环保石膏板预制围墙（包含一次喷涂更新），约6000米。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1,986,000.00</w:t>
      </w:r>
    </w:p>
    <w:p>
      <w:pPr>
        <w:pStyle w:val="null3"/>
      </w:pPr>
      <w:r>
        <w:rPr>
          <w:rFonts w:ascii="仿宋_GB2312" w:hAnsi="仿宋_GB2312" w:cs="仿宋_GB2312" w:eastAsia="仿宋_GB2312"/>
        </w:rPr>
        <w:t>采购包最高限价（元）: 1,986,000.00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航天基地范围内储备用地围墙圈建项目</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1,986,000.00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标的名称：航天基地范围内储备用地围墙圈建项目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航天基地范围内储备用地围墙圈建项目；主要功能或目标:全面提高基地整体环境状况；需满足的要求:新建环保石膏板预制围墙（包含一次喷涂更新），约6000米。</w:t>
            </w:r>
          </w:p>
          <w:p>
            <w:pPr>
              <w:pStyle w:val="null3"/>
            </w:pPr>
            <w:r>
              <w:rPr>
                <w:rFonts w:ascii="仿宋_GB2312" w:hAnsi="仿宋_GB2312" w:cs="仿宋_GB2312" w:eastAsia="仿宋_GB2312"/>
              </w:rPr>
              <w:t>本项目为总价报价及评审，成交单价（元/米）=成交总价（元）÷6000（米），成交单价包含一次喷涂更新费用26元/米。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两年（暂定两年，具体以项目执行进度为准）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西安国家民用航天产业基地区域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（一）验收依据： 1、招标文件、投标文件、澄清表（函）； 2、本合同及附件文本； 3、合同签订时国家及行业现行的标准和技术规范。 （二）项目验收合格后，由甲、乙双方签订验收合格书，一式四份，甲、乙双方各两份。</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单价，依据实际工作量据实结算。双方本着便利工作的原则，甲方指派专人向乙方联系具体业务，乙方进行现场新型预制板围墙圈建，喷涂更新等全部工作。乙方完成全部现场工作后，向甲方申请竣工验收。项目竣工验收后，办理服务费结算，经甲方审核无误后，支付至结算金额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质保期满后，支付至结算金额的100%。如甲方延期支付，甲方不需支付延期付款利息。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供应商需具备建筑工程施工总承包叁级（含叁级）以上资质，具备有效的安全生产许可证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拟派项目经理具备建筑工程专业贰级（含贰级）以上注册建造师资质，具备有效的安全生产考核合格证书（安全生产考核 B 类证书），且无在建工程（提供承诺书)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法定代表人授权书（附法定代表人、被授权人身份证复印件）；法定代表人参加投标，须提供法定代表人身份证明（附法定代表人身份证复印件）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供应商不得在“信用中国”（www.creditchina.gov.cn）被列入重大税收违法失信主体；不得在“中国执行信息公开网 （http://zxgk.court.gov.cn/shixin/）”被列入失信被执行人；不得为“中国政府采购网”（www.ccgp.gov.cn）政府采购严重违法失信行为记录名单中被财政部门禁止参加政府采购活动的供应商. （注：信誉情况由采购代理机构现场查询。）</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单位负责人为同一人或者存在控股、管理关系的不同单位，都不得在本项目中同时提出投标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响应竞争性磋商文件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响应竞争性磋商文件</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响应竞争性磋商文件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响应竞争性磋商文件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总体方案流程安排合理，对项目关键技术、工艺的表述全面深入，对重点难点工作有先进、合理的建议，提出的解决方案完整、经济、安全、切实可行，得10分； 总体方案流程安排合理，对项目关键技术、工艺不够全面深入，对重点难点工程分析不全面彻底，提出的解决方案基本满足要求得8分。 总体方案流程安排合理，对项目关键技术、工艺描述不足，缺乏对重点难点工程的分析，提出的解决方案不能充分满足工程需要得5分； 总体方案流程安排欠缺，对项目关键技术、工艺描述不足，缺乏对重点难点工程的分析，提出的解决方案不能充分满足工程需要得3分；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针对本项目制定切实可行的总体质量控制目标，且对质量控制目标进行合理分解、规划，确保本项目质量标准符合相关标准。内容合理、方案具体可行、完全符合要求得10分； 针对本项目制定切实可行的总体质量控制目标，质量控制目标规划较清晰，确保本项目质量标准符合相关标准。内容较合理、方案可行、符合要求得8分； 内容较合理、方案可行性一般，基本符合要求得5分； 内容不完备、方案可行性差、不能全面符合要求得3分；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分析本项目进度目标及关键节点，同时针对关键节点、具体环节提出相应进度保障措施。整体进度安排及各阶段进度保证措施内容合理、方案具体可行、完全符合要求得10分； 整体进度安排及各阶段进度保证措施内容较合理、方案基本可行、符合要求得8分； 内容较合理、方案可行性一般，基本符合要求得5分； 内容不完备、方案可行性差、不能全面符合要求得3分；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针对本项目作出合理有效的服务承诺（包括但不限于不得拖欠人员工资、给服务人员缴纳保险、具体可行并符合国家相关保修规范的售后服务承诺等）， 承诺完整全面，针对性强，得6分； 承诺较全面，针对性较强，得3分； 承诺不全面，针对性弱，得1分。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 设备投入合理，投入材料环保性强，得5分； 设备投入基本合理，材料环保性较好，得3分； 设备和材料投入计划有欠缺，得1分；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针对本项目制定切实可行的人工、材料、设备的组织方案、给出有针对性的施工应急预案。内容合理、方案具体可行、完全符合要求得5分； 内容较合理、方案可行性一般，基本符合要求得3分； 内容不完备、方案可行性差、不能全面符合要求得1分；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安全文明措施计划</w:t>
            </w:r>
          </w:p>
        </w:tc>
        <w:tc>
          <w:tcPr>
            <w:tcW w:type="dxa" w:w="2492"/>
          </w:tcPr>
          <w:p>
            <w:pPr>
              <w:pStyle w:val="null3"/>
            </w:pPr>
            <w:r>
              <w:rPr>
                <w:rFonts w:ascii="仿宋_GB2312" w:hAnsi="仿宋_GB2312" w:cs="仿宋_GB2312" w:eastAsia="仿宋_GB2312"/>
              </w:rPr>
              <w:t>结合项目环境、特点分析安全隐患，给出有针对性的安全生产、文明、环保、防尘降噪等保证措施。安全文明、环保保证体系组织措施和控制点设置合理，内容合理、方案具体可行、完全符合要求得5分； 内容较合理、方案可行性一般，基本符合要求得3分； 内容不完备、方案可行性差、不能全面符合要求得1分；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1、项目经理（本项共2分）： 具有中级及以上职称得1分；年龄在35（含）-45（含）岁之间得1分；其余不得分； 2、项目部人员组成（本项共8分）： （1）项目部组成人员应包含施工员、质量员、安全员、材料员、资料员、造价员，该项满分6分，每缺少以上任何一项人员扣1分。 （2）项目部组成人员平均年龄在35（含）-45（含）岁，得2分；在45（不含）-55（含）岁，得1分；其余不得分。 说明：以上证明材料须提供证明材料复印件加盖供应商公章；未提供不得分。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供应商应提供2022年1月起至今承接过建筑工程项目的业绩合同证明材料（以合同的签订日期为准，须提供合同复印件加盖公章）（每提供一个得3分，满分9分）。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价格分采用低价优先法计算，即满足磋商文件要求且磋商价格最低的磋商报价为磋商基准价，其价格分为满分。 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