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219D9">
      <w:pPr>
        <w:pStyle w:val="6"/>
        <w:spacing w:before="156" w:after="156"/>
        <w:jc w:val="center"/>
      </w:pPr>
      <w:r>
        <w:rPr>
          <w:rFonts w:hint="eastAsia"/>
          <w:b/>
          <w:sz w:val="36"/>
          <w:szCs w:val="36"/>
        </w:rPr>
        <w:t>对技术、服务、商务条款和合同条款的响应</w:t>
      </w:r>
    </w:p>
    <w:p w14:paraId="571F934A">
      <w:pPr>
        <w:pStyle w:val="6"/>
        <w:spacing w:before="156" w:after="156"/>
        <w:ind w:firstLine="480" w:firstLineChars="200"/>
      </w:pPr>
      <w:r>
        <w:rPr>
          <w:rFonts w:hint="eastAsia"/>
        </w:rPr>
        <w:t>对磋商文件“第三章 磋商项目技术、服务、商务及其他要求；第八章 拟签定合同文本”内容的响应。</w:t>
      </w:r>
    </w:p>
    <w:tbl>
      <w:tblPr>
        <w:tblStyle w:val="4"/>
        <w:tblW w:w="873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3037"/>
        <w:gridCol w:w="2977"/>
        <w:gridCol w:w="1937"/>
      </w:tblGrid>
      <w:tr w14:paraId="46572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79" w:type="dxa"/>
            <w:noWrap/>
            <w:vAlign w:val="center"/>
          </w:tcPr>
          <w:p w14:paraId="6CFD0E01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序号</w:t>
            </w:r>
          </w:p>
        </w:tc>
        <w:tc>
          <w:tcPr>
            <w:tcW w:w="3037" w:type="dxa"/>
            <w:noWrap/>
            <w:vAlign w:val="center"/>
          </w:tcPr>
          <w:p w14:paraId="6101C066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磋商文件</w:t>
            </w:r>
          </w:p>
          <w:p w14:paraId="0239EC3C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条款要求</w:t>
            </w:r>
          </w:p>
        </w:tc>
        <w:tc>
          <w:tcPr>
            <w:tcW w:w="2977" w:type="dxa"/>
            <w:noWrap/>
            <w:vAlign w:val="center"/>
          </w:tcPr>
          <w:p w14:paraId="1E14A3FD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响应文件</w:t>
            </w:r>
          </w:p>
          <w:p w14:paraId="71D4613F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b/>
                <w:bCs/>
              </w:rPr>
              <w:t>条款响应</w:t>
            </w:r>
          </w:p>
        </w:tc>
        <w:tc>
          <w:tcPr>
            <w:tcW w:w="1937" w:type="dxa"/>
            <w:noWrap/>
            <w:vAlign w:val="center"/>
          </w:tcPr>
          <w:p w14:paraId="4633FD57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偏离</w:t>
            </w:r>
          </w:p>
          <w:p w14:paraId="6631E16D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及其影响</w:t>
            </w:r>
          </w:p>
        </w:tc>
      </w:tr>
      <w:tr w14:paraId="552932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131B25B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3037" w:type="dxa"/>
            <w:noWrap/>
          </w:tcPr>
          <w:p w14:paraId="23D7652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2977" w:type="dxa"/>
            <w:noWrap/>
          </w:tcPr>
          <w:p w14:paraId="2873A94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1937" w:type="dxa"/>
            <w:noWrap/>
          </w:tcPr>
          <w:p w14:paraId="38EDCB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</w:tr>
      <w:tr w14:paraId="2F6379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2386C3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3037" w:type="dxa"/>
            <w:noWrap/>
          </w:tcPr>
          <w:p w14:paraId="1F8F58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2977" w:type="dxa"/>
            <w:noWrap/>
          </w:tcPr>
          <w:p w14:paraId="528D9E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1937" w:type="dxa"/>
            <w:noWrap/>
          </w:tcPr>
          <w:p w14:paraId="25651FD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</w:tr>
      <w:tr w14:paraId="18A0C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33A1C19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3037" w:type="dxa"/>
            <w:noWrap/>
          </w:tcPr>
          <w:p w14:paraId="7E9D55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2977" w:type="dxa"/>
            <w:noWrap/>
          </w:tcPr>
          <w:p w14:paraId="4B22D66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1937" w:type="dxa"/>
            <w:noWrap/>
          </w:tcPr>
          <w:p w14:paraId="77A3A53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</w:tr>
      <w:tr w14:paraId="3B413E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6FE5733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3037" w:type="dxa"/>
            <w:noWrap/>
          </w:tcPr>
          <w:p w14:paraId="11328F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2977" w:type="dxa"/>
            <w:noWrap/>
          </w:tcPr>
          <w:p w14:paraId="70AC730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1937" w:type="dxa"/>
            <w:noWrap/>
          </w:tcPr>
          <w:p w14:paraId="7D600B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</w:tr>
      <w:tr w14:paraId="371CF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0BE6835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3037" w:type="dxa"/>
            <w:noWrap/>
          </w:tcPr>
          <w:p w14:paraId="376EBE2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2977" w:type="dxa"/>
            <w:noWrap/>
          </w:tcPr>
          <w:p w14:paraId="332946E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1937" w:type="dxa"/>
            <w:noWrap/>
          </w:tcPr>
          <w:p w14:paraId="667CE62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</w:tr>
      <w:tr w14:paraId="04E43F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1260E3E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3037" w:type="dxa"/>
            <w:noWrap/>
          </w:tcPr>
          <w:p w14:paraId="22B989B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2977" w:type="dxa"/>
            <w:noWrap/>
          </w:tcPr>
          <w:p w14:paraId="34EB6E9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  <w:tc>
          <w:tcPr>
            <w:tcW w:w="1937" w:type="dxa"/>
            <w:noWrap/>
          </w:tcPr>
          <w:p w14:paraId="46CC3E0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32"/>
                <w:szCs w:val="32"/>
              </w:rPr>
            </w:pPr>
          </w:p>
        </w:tc>
      </w:tr>
    </w:tbl>
    <w:p w14:paraId="1BE1F1FF">
      <w:pPr>
        <w:pStyle w:val="6"/>
        <w:spacing w:before="156" w:after="156"/>
        <w:rPr>
          <w:b/>
        </w:rPr>
      </w:pPr>
      <w:r>
        <w:rPr>
          <w:rFonts w:hint="eastAsia"/>
        </w:rPr>
        <w:t>说明：</w:t>
      </w:r>
    </w:p>
    <w:p w14:paraId="1A109280">
      <w:pPr>
        <w:pStyle w:val="6"/>
        <w:spacing w:before="156" w:after="156"/>
        <w:rPr>
          <w:b/>
        </w:rPr>
      </w:pPr>
      <w:r>
        <w:rPr>
          <w:rFonts w:hint="eastAsia"/>
        </w:rPr>
        <w:t>1.本表只填写响应文件中与磋商文件有偏离（包括正偏离和负偏离）的内容，响应文件中所有响应内容与磋商文件要求完全一致的，不用在此表中列出，但必须递交空白表。</w:t>
      </w:r>
    </w:p>
    <w:p w14:paraId="75283F7D">
      <w:pPr>
        <w:pStyle w:val="6"/>
        <w:spacing w:before="156" w:after="156"/>
        <w:rPr>
          <w:b/>
        </w:rPr>
      </w:pPr>
      <w:r>
        <w:rPr>
          <w:rFonts w:hint="eastAsia"/>
        </w:rPr>
        <w:t>2.供应商必须据实填写，不得虚假响应，否则将取消其投标资格，并按有关规定进处罚。</w:t>
      </w:r>
    </w:p>
    <w:p w14:paraId="06F9DDAF">
      <w:pPr>
        <w:adjustRightInd w:val="0"/>
        <w:spacing w:line="400" w:lineRule="exact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供   应   商：</w:t>
      </w:r>
      <w:r>
        <w:rPr>
          <w:rFonts w:hint="eastAsia" w:ascii="宋体" w:hAnsi="宋体" w:eastAsia="宋体"/>
          <w:color w:val="000000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/>
          <w:color w:val="000000"/>
          <w:szCs w:val="21"/>
        </w:rPr>
        <w:t xml:space="preserve"> （盖单位章）</w:t>
      </w:r>
    </w:p>
    <w:p w14:paraId="3926009D">
      <w:pPr>
        <w:spacing w:line="400" w:lineRule="exact"/>
        <w:jc w:val="center"/>
        <w:rPr>
          <w:rFonts w:ascii="宋体" w:hAnsi="宋体" w:eastAsia="宋体"/>
          <w:color w:val="000000"/>
          <w:szCs w:val="21"/>
        </w:rPr>
      </w:pPr>
    </w:p>
    <w:p w14:paraId="3B685CA6">
      <w:pPr>
        <w:spacing w:line="400" w:lineRule="exact"/>
        <w:outlineLvl w:val="1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法定代表人或委托代理人：</w:t>
      </w:r>
      <w:r>
        <w:rPr>
          <w:rFonts w:hint="eastAsia" w:ascii="宋体" w:hAnsi="宋体" w:eastAsia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 w:eastAsia="宋体"/>
          <w:color w:val="000000"/>
          <w:szCs w:val="21"/>
        </w:rPr>
        <w:t>（签字）</w:t>
      </w:r>
    </w:p>
    <w:p w14:paraId="071CF399">
      <w:pPr>
        <w:pStyle w:val="2"/>
        <w:ind w:firstLine="480"/>
      </w:pPr>
    </w:p>
    <w:p w14:paraId="2FFD24BF">
      <w:pPr>
        <w:rPr>
          <w:rFonts w:ascii="宋体" w:hAnsi="宋体" w:eastAsia="宋体"/>
        </w:rPr>
      </w:pPr>
      <w:r>
        <w:rPr>
          <w:rFonts w:hint="eastAsia" w:ascii="宋体" w:hAnsi="宋体" w:eastAsia="宋体"/>
          <w:color w:val="000000"/>
          <w:szCs w:val="21"/>
        </w:rPr>
        <w:t>日    期：     年    月  日</w:t>
      </w:r>
    </w:p>
    <w:p w14:paraId="63DCCC52">
      <w:pPr>
        <w:pStyle w:val="6"/>
        <w:spacing w:before="156" w:after="15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527D"/>
    <w:rsid w:val="00130B72"/>
    <w:rsid w:val="002F5A4B"/>
    <w:rsid w:val="00AE527D"/>
    <w:rsid w:val="00C00F14"/>
    <w:rsid w:val="00C35A30"/>
    <w:rsid w:val="00E04A79"/>
    <w:rsid w:val="00EB027D"/>
    <w:rsid w:val="00F84123"/>
    <w:rsid w:val="58E875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kern w:val="0"/>
      <w:sz w:val="24"/>
      <w:szCs w:val="24"/>
      <w:lang w:val="en-US" w:eastAsia="zh-CN" w:bidi="ar-SA"/>
    </w:rPr>
  </w:style>
  <w:style w:type="paragraph" w:styleId="3">
    <w:name w:val="heading 2"/>
    <w:basedOn w:val="1"/>
    <w:link w:val="8"/>
    <w:qFormat/>
    <w:uiPriority w:val="9"/>
    <w:pPr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9"/>
    <w:unhideWhenUsed/>
    <w:qFormat/>
    <w:uiPriority w:val="0"/>
    <w:pPr>
      <w:ind w:firstLine="420" w:firstLineChars="200"/>
    </w:pPr>
  </w:style>
  <w:style w:type="paragraph" w:customStyle="1" w:styleId="6">
    <w:name w:val="样式2"/>
    <w:basedOn w:val="1"/>
    <w:link w:val="7"/>
    <w:autoRedefine/>
    <w:qFormat/>
    <w:uiPriority w:val="0"/>
    <w:pPr>
      <w:widowControl w:val="0"/>
      <w:spacing w:beforeLines="50" w:afterLines="50" w:line="560" w:lineRule="exact"/>
      <w:outlineLvl w:val="1"/>
    </w:pPr>
    <w:rPr>
      <w:rFonts w:ascii="宋体" w:hAnsi="宋体" w:eastAsia="宋体"/>
      <w:bCs/>
      <w:kern w:val="32"/>
    </w:rPr>
  </w:style>
  <w:style w:type="character" w:customStyle="1" w:styleId="7">
    <w:name w:val="样式2 字符"/>
    <w:basedOn w:val="5"/>
    <w:link w:val="6"/>
    <w:qFormat/>
    <w:uiPriority w:val="0"/>
    <w:rPr>
      <w:rFonts w:ascii="宋体" w:hAnsi="宋体" w:eastAsia="宋体" w:cs="Times New Roman"/>
      <w:bCs/>
      <w:kern w:val="32"/>
      <w:sz w:val="24"/>
      <w:szCs w:val="24"/>
    </w:rPr>
  </w:style>
  <w:style w:type="character" w:customStyle="1" w:styleId="8">
    <w:name w:val="标题 2 Char"/>
    <w:basedOn w:val="5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正文缩进 Char"/>
    <w:link w:val="2"/>
    <w:qFormat/>
    <w:uiPriority w:val="0"/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241</Words>
  <Characters>243</Characters>
  <Lines>2</Lines>
  <Paragraphs>1</Paragraphs>
  <TotalTime>12</TotalTime>
  <ScaleCrop>false</ScaleCrop>
  <LinksUpToDate>false</LinksUpToDate>
  <CharactersWithSpaces>309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2024-07-22T06:40:00Z</dcterms:created>
  <dc:creator>Windows 用户</dc:creator>
  <cp:lastModifiedBy>vicky2526</cp:lastModifiedBy>
  <dcterms:modified xsi:type="dcterms:W3CDTF">2025-03-22T04:04:03Z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eyJoZGlkIjoiYTRlNzI1NjUyNDZmMDhkYmUzNTM0ODhmYjdiMmE4YjciLCJ1c2VySWQiOiI5MjE5OTA1MTkifQ==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6B31E63546DE404D8480D4EF10FBB8D1_12</vt:lpwstr>
  </property>
</Properties>
</file>