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版本号：HYTF-20250402820250427001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航天基地2025年城市地下管网建设项目—线缆沟工程设计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HYTF-202504028</w:t>
      </w:r>
      <w:r>
        <w:br/>
      </w:r>
      <w:r>
        <w:br/>
      </w:r>
      <w:r>
        <w:br/>
      </w:r>
    </w:p>
    <w:p>
      <w:pPr>
        <w:pStyle w:val="null3"/>
        <w:jc w:val="center"/>
        <w:outlineLvl w:val="2"/>
      </w:pPr>
      <w:r>
        <w:rPr>
          <w:rFonts w:ascii="仿宋_GB2312" w:hAnsi="仿宋_GB2312" w:cs="仿宋_GB2312" w:eastAsia="仿宋_GB2312"/>
          <w:sz w:val="28"/>
          <w:b/>
        </w:rPr>
        <w:t>西安国家民用航天产业基地城市更新发展服务中心</w:t>
      </w:r>
    </w:p>
    <w:p>
      <w:pPr>
        <w:pStyle w:val="null3"/>
        <w:jc w:val="center"/>
        <w:outlineLvl w:val="2"/>
      </w:pPr>
      <w:r>
        <w:rPr>
          <w:rFonts w:ascii="仿宋_GB2312" w:hAnsi="仿宋_GB2312" w:cs="仿宋_GB2312" w:eastAsia="仿宋_GB2312"/>
          <w:sz w:val="28"/>
          <w:b/>
        </w:rPr>
        <w:t>陕西四方衡裕项目管理有限公司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陕西四方衡裕项目管理有限公司</w:t>
      </w:r>
      <w:r>
        <w:rPr>
          <w:rFonts w:ascii="仿宋_GB2312" w:hAnsi="仿宋_GB2312" w:cs="仿宋_GB2312" w:eastAsia="仿宋_GB2312"/>
        </w:rPr>
        <w:t>（以下简称“代理机构”）受</w:t>
      </w:r>
      <w:r>
        <w:rPr>
          <w:rFonts w:ascii="仿宋_GB2312" w:hAnsi="仿宋_GB2312" w:cs="仿宋_GB2312" w:eastAsia="仿宋_GB2312"/>
        </w:rPr>
        <w:t>西安国家民用航天产业基地城市更新发展服务中心</w:t>
      </w:r>
      <w:r>
        <w:rPr>
          <w:rFonts w:ascii="仿宋_GB2312" w:hAnsi="仿宋_GB2312" w:cs="仿宋_GB2312" w:eastAsia="仿宋_GB2312"/>
        </w:rPr>
        <w:t>委托，拟对</w:t>
      </w:r>
      <w:r>
        <w:rPr>
          <w:rFonts w:ascii="仿宋_GB2312" w:hAnsi="仿宋_GB2312" w:cs="仿宋_GB2312" w:eastAsia="仿宋_GB2312"/>
        </w:rPr>
        <w:t>航天基地2025年城市地下管网建设项目—线缆沟工程设计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HYTF-202504028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航天基地2025年城市地下管网建设项目—线缆沟工程设计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航天基地2025年城市地下管网建设项目—线缆沟工程设计，1项。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1、营业执照等主体资格证明文件：提供有效存续的企业营业执照/事业单位法人证书/专业服务机构执业许可证/民办非企业单位登记证书，自然人投标的提供其身份证明；</w:t>
      </w:r>
    </w:p>
    <w:p>
      <w:pPr>
        <w:pStyle w:val="null3"/>
      </w:pPr>
      <w:r>
        <w:rPr>
          <w:rFonts w:ascii="仿宋_GB2312" w:hAnsi="仿宋_GB2312" w:cs="仿宋_GB2312" w:eastAsia="仿宋_GB2312"/>
        </w:rPr>
        <w:t>2、财务状况报告：提供2023年度或2024年度经审计的完整财务报告（成立时间至提交响应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p>
      <w:pPr>
        <w:pStyle w:val="null3"/>
      </w:pPr>
      <w:r>
        <w:rPr>
          <w:rFonts w:ascii="仿宋_GB2312" w:hAnsi="仿宋_GB2312" w:cs="仿宋_GB2312" w:eastAsia="仿宋_GB2312"/>
        </w:rPr>
        <w:t>3、税收缴纳证明：提供2024年9月至今已缴纳任意一个月纳税证明或税务机关开具的完税证明（时间以税款所属日期为准，凭据应有税务机关或代收机关的公章或业务专用章。）依法免税或无须缴纳税收的单位应提供相应证明文件；</w:t>
      </w:r>
    </w:p>
    <w:p>
      <w:pPr>
        <w:pStyle w:val="null3"/>
      </w:pPr>
      <w:r>
        <w:rPr>
          <w:rFonts w:ascii="仿宋_GB2312" w:hAnsi="仿宋_GB2312" w:cs="仿宋_GB2312" w:eastAsia="仿宋_GB2312"/>
        </w:rPr>
        <w:t>4、社保缴纳证明：提供2024年9月至今已缴存任意一个月社会保障资金缴存单据或社保机构开具的社会保险参保缴费证明，依法不需要缴纳社会保障资金的单位应提供相应证明文件；</w:t>
      </w:r>
    </w:p>
    <w:p>
      <w:pPr>
        <w:pStyle w:val="null3"/>
      </w:pPr>
      <w:r>
        <w:rPr>
          <w:rFonts w:ascii="仿宋_GB2312" w:hAnsi="仿宋_GB2312" w:cs="仿宋_GB2312" w:eastAsia="仿宋_GB2312"/>
        </w:rPr>
        <w:t>5、履行合同所必需的设备和专业技术能力：具备履行合同所必需的设备和专业技术能力的证明材料或书面声明；</w:t>
      </w:r>
    </w:p>
    <w:p>
      <w:pPr>
        <w:pStyle w:val="null3"/>
      </w:pPr>
      <w:r>
        <w:rPr>
          <w:rFonts w:ascii="仿宋_GB2312" w:hAnsi="仿宋_GB2312" w:cs="仿宋_GB2312" w:eastAsia="仿宋_GB2312"/>
        </w:rPr>
        <w:t>6、采购活动前三年内在经营活动中没有重大违法记录：参加政府采购活动前三年内在经营活动中没有重大违法记录的书面声明；</w:t>
      </w:r>
    </w:p>
    <w:p>
      <w:pPr>
        <w:pStyle w:val="null3"/>
      </w:pPr>
      <w:r>
        <w:rPr>
          <w:rFonts w:ascii="仿宋_GB2312" w:hAnsi="仿宋_GB2312" w:cs="仿宋_GB2312" w:eastAsia="仿宋_GB2312"/>
        </w:rPr>
        <w:t>7、法律、行政法规规定的其他条件：具备法律、行政法规规定的其他条件的证明材料。</w:t>
      </w:r>
    </w:p>
    <w:p>
      <w:pPr>
        <w:pStyle w:val="null3"/>
      </w:pPr>
      <w:r>
        <w:rPr>
          <w:rFonts w:ascii="仿宋_GB2312" w:hAnsi="仿宋_GB2312" w:cs="仿宋_GB2312" w:eastAsia="仿宋_GB2312"/>
        </w:rPr>
        <w:t>8、企业资质：供应商应具备【工程设计综合资质甲级】或【市政行业工程设计乙级】及以上资质；</w:t>
      </w:r>
    </w:p>
    <w:p>
      <w:pPr>
        <w:pStyle w:val="null3"/>
      </w:pPr>
      <w:r>
        <w:rPr>
          <w:rFonts w:ascii="仿宋_GB2312" w:hAnsi="仿宋_GB2312" w:cs="仿宋_GB2312" w:eastAsia="仿宋_GB2312"/>
        </w:rPr>
        <w:t>9、信用查询：供应商通过“信用中国”网站(www.creditchina.gov.cn)、中国政府采购网(www.ccgp.gov.cn)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p>
      <w:pPr>
        <w:pStyle w:val="null3"/>
      </w:pPr>
      <w:r>
        <w:rPr>
          <w:rFonts w:ascii="仿宋_GB2312" w:hAnsi="仿宋_GB2312" w:cs="仿宋_GB2312" w:eastAsia="仿宋_GB2312"/>
        </w:rPr>
        <w:t>10、法定代表人授权委托书：法定代表人直接参加磋商的，须出具法人身份证，并与营业执照上信息一致。法定代表人授权代表参加磋商的，须出具法定代表人授权书及授权代表身份证、授权代表本单位证明（磋商前的个人养老保险缴纳证明）。 法人的分支机构参与磋商时，除提供《法定代表人授权委托书》外，还须同时提供法人给分支机构出具的授权书。</w:t>
      </w:r>
    </w:p>
    <w:p>
      <w:pPr>
        <w:pStyle w:val="null3"/>
      </w:pPr>
      <w:r>
        <w:rPr>
          <w:rFonts w:ascii="仿宋_GB2312" w:hAnsi="仿宋_GB2312" w:cs="仿宋_GB2312" w:eastAsia="仿宋_GB2312"/>
        </w:rPr>
        <w:t>11、本项目不接受联合体投标，不允许分包：供应商提供《非联合体不分包投标声明》，视为独立投标，不分包。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西安国家民用航天产业基地城市更新发展服务中心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航天中路东段398号寰宇大厦西侧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山工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029-85875753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陕西四方衡裕项目管理有限公司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西安市高新区沣惠路16号泰华金贸国际8号楼28层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李亚容、王维、赵维</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029-89284433-603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西安国家民用航天产业基地管理委员会政府采购管理股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姜旭苗</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029-85688753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采购包1：902,700.00元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代理服务费收费标准：以成交金额为取费基数，采购代理服务费参照《国家计委关于印发&lt;招标代理服务收费管理暂行办法&gt;的通知》（计价格[2002]1980号）和（发改办价格[2011]534号）文件规定的标准收取。 代理服务费缴纳账户信息： 银行户名：陕西四方衡裕项目管理有限公司 开户银行：兴业银行股份有限公司西安锦业路支行 账号：456700100100008334 联系人：蔡月茹 方淑丽 联系电话：029-89284433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西安国家民用航天产业基地城市更新发展服务中心</w:t>
      </w:r>
      <w:r>
        <w:rPr>
          <w:rFonts w:ascii="仿宋_GB2312" w:hAnsi="仿宋_GB2312" w:cs="仿宋_GB2312" w:eastAsia="仿宋_GB2312"/>
        </w:rPr>
        <w:t>和</w:t>
      </w:r>
      <w:r>
        <w:rPr>
          <w:rFonts w:ascii="仿宋_GB2312" w:hAnsi="仿宋_GB2312" w:cs="仿宋_GB2312" w:eastAsia="仿宋_GB2312"/>
        </w:rPr>
        <w:t>陕西四方衡裕项目管理有限公司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西安国家民用航天产业基地城市更新发展服务中心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陕西四方衡裕项目管理有限公司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西安国家民用航天产业基地城市更新发展服务中心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陕西四方衡裕项目管理有限公司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联系人：赵维、王维</w:t>
      </w:r>
    </w:p>
    <w:p>
      <w:pPr>
        <w:pStyle w:val="null3"/>
      </w:pPr>
      <w:r>
        <w:rPr>
          <w:rFonts w:ascii="仿宋_GB2312" w:hAnsi="仿宋_GB2312" w:cs="仿宋_GB2312" w:eastAsia="仿宋_GB2312"/>
        </w:rPr>
        <w:t>联系电话：029-89284433-603</w:t>
      </w:r>
    </w:p>
    <w:p>
      <w:pPr>
        <w:pStyle w:val="null3"/>
      </w:pPr>
      <w:r>
        <w:rPr>
          <w:rFonts w:ascii="仿宋_GB2312" w:hAnsi="仿宋_GB2312" w:cs="仿宋_GB2312" w:eastAsia="仿宋_GB2312"/>
        </w:rPr>
        <w:t>地址：西安市高新区沣惠路16号泰华金贸国际8号楼28层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航天基地2025年城市地下管网建设项目—线缆沟工程设计，1项。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902,700.00</w:t>
      </w:r>
    </w:p>
    <w:p>
      <w:pPr>
        <w:pStyle w:val="null3"/>
      </w:pPr>
      <w:r>
        <w:rPr>
          <w:rFonts w:ascii="仿宋_GB2312" w:hAnsi="仿宋_GB2312" w:cs="仿宋_GB2312" w:eastAsia="仿宋_GB2312"/>
        </w:rPr>
        <w:t>采购包最高限价（元）: 902,700.00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902700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902,700.00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标的名称：902700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4"/>
              </w:rPr>
              <w:t>一、项目概况</w:t>
            </w:r>
          </w:p>
          <w:p>
            <w:pPr>
              <w:pStyle w:val="null3"/>
              <w:ind w:firstLine="480"/>
              <w:jc w:val="both"/>
            </w:pPr>
            <w:r>
              <w:rPr>
                <w:rFonts w:ascii="仿宋_GB2312" w:hAnsi="仿宋_GB2312" w:cs="仿宋_GB2312" w:eastAsia="仿宋_GB2312"/>
                <w:sz w:val="24"/>
              </w:rPr>
              <w:t>本次建设项目包含</w:t>
            </w:r>
            <w:r>
              <w:rPr>
                <w:rFonts w:ascii="仿宋_GB2312" w:hAnsi="仿宋_GB2312" w:cs="仿宋_GB2312" w:eastAsia="仿宋_GB2312"/>
                <w:sz w:val="24"/>
              </w:rPr>
              <w:t>6条市政道路的管网线缆沟工程建设，分别为：航天东路南延伸（生态路南侧规划路-生态路）、雁引路支一（长征一路-航天南路）、航天南路支三（雁引路-雁引路支二）、天和五路（长征二路-长征一路）、天和一路（长征二路-长征三路北侧规划路）、长征二路东辅道（天和一路-新和村安置地块西边线）位于航天基地一、二期建设范围。</w:t>
            </w:r>
          </w:p>
          <w:p>
            <w:pPr>
              <w:pStyle w:val="null3"/>
              <w:ind w:firstLine="480"/>
              <w:jc w:val="both"/>
            </w:pPr>
            <w:r>
              <w:rPr>
                <w:rFonts w:ascii="仿宋_GB2312" w:hAnsi="仿宋_GB2312" w:cs="仿宋_GB2312" w:eastAsia="仿宋_GB2312"/>
                <w:sz w:val="24"/>
              </w:rPr>
              <w:t>二、服务内容</w:t>
            </w:r>
          </w:p>
          <w:p>
            <w:pPr>
              <w:pStyle w:val="null3"/>
              <w:ind w:firstLine="480"/>
              <w:jc w:val="both"/>
            </w:pPr>
            <w:r>
              <w:rPr>
                <w:rFonts w:ascii="仿宋_GB2312" w:hAnsi="仿宋_GB2312" w:cs="仿宋_GB2312" w:eastAsia="仿宋_GB2312"/>
                <w:sz w:val="24"/>
              </w:rPr>
              <w:t>对</w:t>
            </w:r>
            <w:r>
              <w:rPr>
                <w:rFonts w:ascii="仿宋_GB2312" w:hAnsi="仿宋_GB2312" w:cs="仿宋_GB2312" w:eastAsia="仿宋_GB2312"/>
                <w:sz w:val="24"/>
              </w:rPr>
              <w:t>航天基地</w:t>
            </w:r>
            <w:r>
              <w:rPr>
                <w:rFonts w:ascii="仿宋_GB2312" w:hAnsi="仿宋_GB2312" w:cs="仿宋_GB2312" w:eastAsia="仿宋_GB2312"/>
                <w:sz w:val="24"/>
              </w:rPr>
              <w:t>2025年城市地下管网建设项目—线缆沟工程</w:t>
            </w:r>
            <w:r>
              <w:rPr>
                <w:rFonts w:ascii="仿宋_GB2312" w:hAnsi="仿宋_GB2312" w:cs="仿宋_GB2312" w:eastAsia="仿宋_GB2312"/>
                <w:sz w:val="24"/>
              </w:rPr>
              <w:t>进行</w:t>
            </w:r>
            <w:r>
              <w:rPr>
                <w:rFonts w:ascii="仿宋_GB2312" w:hAnsi="仿宋_GB2312" w:cs="仿宋_GB2312" w:eastAsia="仿宋_GB2312"/>
                <w:sz w:val="24"/>
              </w:rPr>
              <w:t>初步设计、施工图设计服务</w:t>
            </w:r>
            <w:r>
              <w:rPr>
                <w:rFonts w:ascii="仿宋_GB2312" w:hAnsi="仿宋_GB2312" w:cs="仿宋_GB2312" w:eastAsia="仿宋_GB2312"/>
                <w:sz w:val="24"/>
              </w:rPr>
              <w:t>。</w:t>
            </w:r>
            <w:r>
              <w:rPr>
                <w:rFonts w:ascii="仿宋_GB2312" w:hAnsi="仿宋_GB2312" w:cs="仿宋_GB2312" w:eastAsia="仿宋_GB2312"/>
                <w:sz w:val="24"/>
              </w:rPr>
              <w:t>根据相关资料，对接相关行业主管和管理部门，编制项目初步设计、绘制施工图成果，满足国家有关规定，并全程协助配合甲方推进本项目涉及的相关审批工作，进行技术支持并参与评审、汇报、施工图审查、施工配合等。</w:t>
            </w:r>
          </w:p>
          <w:p>
            <w:pPr>
              <w:pStyle w:val="null3"/>
              <w:ind w:firstLine="480"/>
              <w:jc w:val="both"/>
            </w:pPr>
            <w:r>
              <w:rPr>
                <w:rFonts w:ascii="仿宋_GB2312" w:hAnsi="仿宋_GB2312" w:cs="仿宋_GB2312" w:eastAsia="仿宋_GB2312"/>
                <w:sz w:val="24"/>
              </w:rPr>
              <w:t>三、商务要求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设计周期：自合同签订之日起</w:t>
            </w:r>
            <w:r>
              <w:rPr>
                <w:rFonts w:ascii="仿宋_GB2312" w:hAnsi="仿宋_GB2312" w:cs="仿宋_GB2312" w:eastAsia="仿宋_GB2312"/>
                <w:sz w:val="24"/>
              </w:rPr>
              <w:t>2个月内。</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服务期限：自合同签订之日起至完成相关审批工作。</w:t>
            </w:r>
          </w:p>
          <w:p>
            <w:pPr>
              <w:pStyle w:val="null3"/>
              <w:ind w:firstLine="480"/>
              <w:jc w:val="both"/>
            </w:pPr>
            <w:r>
              <w:rPr>
                <w:rFonts w:ascii="仿宋_GB2312" w:hAnsi="仿宋_GB2312" w:cs="仿宋_GB2312" w:eastAsia="仿宋_GB2312"/>
                <w:sz w:val="24"/>
              </w:rPr>
              <w:t>四、其他要求</w:t>
            </w:r>
          </w:p>
          <w:p>
            <w:pPr>
              <w:pStyle w:val="null3"/>
              <w:ind w:firstLine="480"/>
              <w:jc w:val="both"/>
            </w:pPr>
            <w:r>
              <w:rPr>
                <w:rFonts w:ascii="仿宋_GB2312" w:hAnsi="仿宋_GB2312" w:cs="仿宋_GB2312" w:eastAsia="仿宋_GB2312"/>
                <w:sz w:val="24"/>
              </w:rPr>
              <w:t>（一）质量验收标准或规范</w:t>
            </w:r>
          </w:p>
          <w:p>
            <w:pPr>
              <w:pStyle w:val="null3"/>
              <w:ind w:firstLine="480"/>
              <w:jc w:val="both"/>
            </w:pPr>
            <w:r>
              <w:rPr>
                <w:rFonts w:ascii="仿宋_GB2312" w:hAnsi="仿宋_GB2312" w:cs="仿宋_GB2312" w:eastAsia="仿宋_GB2312"/>
                <w:sz w:val="24"/>
              </w:rPr>
              <w:t>包括但不限于《城市工程管线综合规划规范》、《混凝土结构设计规范》、《供配电系统设计规范》、《电力工程电缆设计标准》、《建筑结构荷载规范》、《钢纤维混凝土检查井盖》、《建筑地基处理技术规范》、《建筑设计防火规范》、《城市电力电缆线路设计技术规定》、《电力电缆用导管技术条件》、《电力电缆用导管技术条件》、《电力电缆用导管技术条件》、《电力电缆井设计与安装》、《低压配电设计规范》、《</w:t>
            </w:r>
            <w:r>
              <w:rPr>
                <w:rFonts w:ascii="仿宋_GB2312" w:hAnsi="仿宋_GB2312" w:cs="仿宋_GB2312" w:eastAsia="仿宋_GB2312"/>
                <w:sz w:val="24"/>
              </w:rPr>
              <w:t>110kV及以下电缆敷设》、《城市地下通信塑料管道工程设计规范》、《交流电气装置的接地设计规范》、《地下通信线缆敷设》、《通信管道与通道工程设计标准》、《地下通信管道用塑料管》、《地下通信管道用塑料管》、《通信管道工程施工及验收标准》；现行的国家标准或国家行政部门颁布的法律法规、规章制度等行业标准。</w:t>
            </w:r>
          </w:p>
          <w:p>
            <w:pPr>
              <w:pStyle w:val="null3"/>
              <w:ind w:firstLine="480"/>
              <w:jc w:val="both"/>
            </w:pPr>
            <w:r>
              <w:rPr>
                <w:rFonts w:ascii="仿宋_GB2312" w:hAnsi="仿宋_GB2312" w:cs="仿宋_GB2312" w:eastAsia="仿宋_GB2312"/>
                <w:sz w:val="24"/>
              </w:rPr>
              <w:t>（二）成果要求</w:t>
            </w:r>
          </w:p>
          <w:p>
            <w:pPr>
              <w:pStyle w:val="null3"/>
              <w:ind w:firstLine="480"/>
              <w:jc w:val="both"/>
            </w:pPr>
            <w:r>
              <w:rPr>
                <w:rFonts w:ascii="仿宋_GB2312" w:hAnsi="仿宋_GB2312" w:cs="仿宋_GB2312" w:eastAsia="仿宋_GB2312"/>
                <w:sz w:val="24"/>
              </w:rPr>
              <w:t>1、供应商应向采购人提供12套纸质资料及1套电子资料。</w:t>
            </w:r>
          </w:p>
          <w:p>
            <w:pPr>
              <w:pStyle w:val="null3"/>
              <w:jc w:val="both"/>
            </w:pPr>
            <w:r>
              <w:rPr>
                <w:rFonts w:ascii="仿宋_GB2312" w:hAnsi="仿宋_GB2312" w:cs="仿宋_GB2312" w:eastAsia="仿宋_GB2312"/>
                <w:sz w:val="24"/>
              </w:rPr>
              <w:t>2、需按照采购人提供的设计条件、设计要求、设计标准进行设计。设计完成后需经采购人审核同意后出具正式初步设计及施工图设计。</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设计周期：自合同签订之日起2个月内。 服务期限：自合同签订之日起至完成相关审批工作。</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完成施工图并经过图审及相关部门确认后，由设计单位提出申请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待项目竣工验收后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采购内容“航天基地2025年城市地下管网建设项目—线缆沟工程设计”对应的中小企业划分标准所属行业为：其他未列明行业。2、供应商需要在线提交所有通过电子化交易平台实施的政府采购项目的响应文件，成交供应商在成交结果公示后线下递交纸质响应文件正本壹份、副本壹份，递交文件地点：西安市高新区沣惠路16号泰华金贸国际8号楼28层。3、各供应商应根据“陕西省财政厅 陕财办采函[2023]14号文”陕西省财政厅关于省级预算单位全面推行政府采购项目电子化交易的通知”、《政府采购项目电子化交易规则》等文件的要求，做好人员配备、设施设备、系统操作的相应准备，熟悉并正确实施相关操作流程，承担由于操作或其他因素造成的不利后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备注：提供2023年度或2024年度经审计的完整财务报告（成立时间至提交响应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提供有效存续的企业营业执照/事业单位法人证书/专业服务机构执业许可证/民办非企业单位登记证书，自然人投标的提供其身份证明；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完整财务报告（成立时间至提交响应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提供2024年9月至今已缴纳任意一个月纳税证明或税务机关开具的完税证明（时间以税款所属日期为准，凭据应有税务机关或代收机关的公章或业务专用章。）依法免税或无须缴纳税收的单位应提供相应证明文件；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提供2024年9月至今已缴存任意一个月社会保障资金缴存单据或社保机构开具的社会保险参保缴费证明，依法不需要缴纳社会保障资金的单位应提供相应证明文件；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具备履行合同所必需的设备和专业技术能力的证明材料或书面声明；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采购活动前三年内在经营活动中没有重大违法记录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法律、行政法规规定的其他条件</w:t>
            </w:r>
          </w:p>
        </w:tc>
        <w:tc>
          <w:tcPr>
            <w:tcW w:type="dxa" w:w="3322"/>
          </w:tcPr>
          <w:p>
            <w:pPr>
              <w:pStyle w:val="null3"/>
            </w:pPr>
            <w:r>
              <w:rPr>
                <w:rFonts w:ascii="仿宋_GB2312" w:hAnsi="仿宋_GB2312" w:cs="仿宋_GB2312" w:eastAsia="仿宋_GB2312"/>
              </w:rPr>
              <w:t>具备法律、行政法规规定的其他条件的证明材料。</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供应商应具备【工程设计综合资质甲级】或【市政行业工程设计乙级】及以上资质；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磋商的，须出具法人身份证，并与营业执照上信息一致。法定代表人授权代表参加磋商的，须出具法定代表人授权书及授权代表身份证、授权代表本单位证明（磋商前的个人养老保险缴纳证明）。 法人的分支机构参与磋商时，除提供《法定代表人授权委托书》外，还须同时提供法人给分支机构出具的授权书。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供应商提供《非联合体不分包投标声明》，视为独立投标，不分包。</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按照磋商文件规定要求签署、盖章（备注：凡要求法定代表人签字或盖章之处，非法人单位负责人可参照执行）</w:t>
            </w:r>
          </w:p>
        </w:tc>
        <w:tc>
          <w:tcPr>
            <w:tcW w:type="dxa" w:w="1661"/>
          </w:tcPr>
          <w:p>
            <w:pPr>
              <w:pStyle w:val="null3"/>
            </w:pPr>
            <w:r>
              <w:rPr>
                <w:rFonts w:ascii="仿宋_GB2312" w:hAnsi="仿宋_GB2312" w:cs="仿宋_GB2312" w:eastAsia="仿宋_GB2312"/>
              </w:rPr>
              <w:t>响应文件封面 中小企业声明函 残疾人福利性单位声明函 标的清单 其他资料.docx 资格证明材料.docx 响应函 偏差表.docx 供应商承诺书.docx 服务方案.docx 监狱企业的证明文件 报价明细表.docx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报价唯一且有效</w:t>
            </w:r>
          </w:p>
        </w:tc>
        <w:tc>
          <w:tcPr>
            <w:tcW w:type="dxa" w:w="3322"/>
          </w:tcPr>
          <w:p>
            <w:pPr>
              <w:pStyle w:val="null3"/>
            </w:pPr>
            <w:r>
              <w:rPr>
                <w:rFonts w:ascii="仿宋_GB2312" w:hAnsi="仿宋_GB2312" w:cs="仿宋_GB2312" w:eastAsia="仿宋_GB2312"/>
              </w:rPr>
              <w:t>只能有一个有效报价，不得提交选择性报价，且报价未超过磋商文件中规定的采购预算金额或最高限价</w:t>
            </w:r>
          </w:p>
        </w:tc>
        <w:tc>
          <w:tcPr>
            <w:tcW w:type="dxa" w:w="1661"/>
          </w:tcPr>
          <w:p>
            <w:pPr>
              <w:pStyle w:val="null3"/>
            </w:pPr>
            <w:r>
              <w:rPr>
                <w:rFonts w:ascii="仿宋_GB2312" w:hAnsi="仿宋_GB2312" w:cs="仿宋_GB2312" w:eastAsia="仿宋_GB2312"/>
              </w:rPr>
              <w:t>标的清单 报价明细表.docx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偏差表.docx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偏差表.docx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设计周期、服务期限</w:t>
            </w:r>
          </w:p>
        </w:tc>
        <w:tc>
          <w:tcPr>
            <w:tcW w:type="dxa" w:w="3322"/>
          </w:tcPr>
          <w:p>
            <w:pPr>
              <w:pStyle w:val="null3"/>
            </w:pPr>
            <w:r>
              <w:rPr>
                <w:rFonts w:ascii="仿宋_GB2312" w:hAnsi="仿宋_GB2312" w:cs="仿宋_GB2312" w:eastAsia="仿宋_GB2312"/>
              </w:rPr>
              <w:t>应满足磋商文件中要求的设计周期、服务期限</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满足本磋商文件中的实质性条款（设计周期、服务期限、服务地点、付款方式）要求</w:t>
            </w:r>
          </w:p>
        </w:tc>
        <w:tc>
          <w:tcPr>
            <w:tcW w:type="dxa" w:w="1661"/>
          </w:tcPr>
          <w:p>
            <w:pPr>
              <w:pStyle w:val="null3"/>
            </w:pPr>
            <w:r>
              <w:rPr>
                <w:rFonts w:ascii="仿宋_GB2312" w:hAnsi="仿宋_GB2312" w:cs="仿宋_GB2312" w:eastAsia="仿宋_GB2312"/>
              </w:rPr>
              <w:t>响应文件封面 中小企业声明函 残疾人福利性单位声明函 标的清单 其他资料.docx 资格证明材料.docx 响应函 偏差表.docx 供应商承诺书.docx 服务方案.docx 监狱企业的证明文件 报价明细表.docx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无法律、规章、规范性文件和磋商文件规定的其他无效情形</w:t>
            </w:r>
          </w:p>
        </w:tc>
        <w:tc>
          <w:tcPr>
            <w:tcW w:type="dxa" w:w="1661"/>
          </w:tcPr>
          <w:p>
            <w:pPr>
              <w:pStyle w:val="null3"/>
            </w:pPr>
            <w:r>
              <w:rPr>
                <w:rFonts w:ascii="仿宋_GB2312" w:hAnsi="仿宋_GB2312" w:cs="仿宋_GB2312" w:eastAsia="仿宋_GB2312"/>
              </w:rPr>
              <w:t>响应文件封面 中小企业声明函 残疾人福利性单位声明函 标的清单 其他资料.docx 资格证明材料.docx 响应函 偏差表.docx 供应商承诺书.docx 服务方案.docx 监狱企业的证明文件 报价明细表.docx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供应商提供对项目的理解。针对本项目背景理解到位，认识准确，掌握项目各项工作要求，完全满足采购人需求得8分；项目理解基本准确，了解项目相关情况，基本能满足项目实际需求得5分；有项目理解，能够保障项目实施得3分；项目理解不准确，不利于项目实施得1分；此项未提供者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总体设计方案</w:t>
            </w:r>
          </w:p>
        </w:tc>
        <w:tc>
          <w:tcPr>
            <w:tcW w:type="dxa" w:w="2492"/>
          </w:tcPr>
          <w:p>
            <w:pPr>
              <w:pStyle w:val="null3"/>
            </w:pPr>
            <w:r>
              <w:rPr>
                <w:rFonts w:ascii="仿宋_GB2312" w:hAnsi="仿宋_GB2312" w:cs="仿宋_GB2312" w:eastAsia="仿宋_GB2312"/>
              </w:rPr>
              <w:t>供应商提供总体设计方案。针对本项目设计目标、规模、内容理解透彻，思路清晰设计方案工作思路清晰、技术路线明确、任务分解科学合理得10分；总体设计方案工作思路较为清晰、技术路线较明确、任务分解合理得8分；总体设计方案工作思路基本明确，任务分解基本合理，能够满足项目采购需求得5分；有总体设计方案，能保证项目实施得3分；总体设计方案思路不清晰，混乱得1分；此项未提供者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设计进度计划及控制措施</w:t>
            </w:r>
          </w:p>
        </w:tc>
        <w:tc>
          <w:tcPr>
            <w:tcW w:type="dxa" w:w="2492"/>
          </w:tcPr>
          <w:p>
            <w:pPr>
              <w:pStyle w:val="null3"/>
            </w:pPr>
            <w:r>
              <w:rPr>
                <w:rFonts w:ascii="仿宋_GB2312" w:hAnsi="仿宋_GB2312" w:cs="仿宋_GB2312" w:eastAsia="仿宋_GB2312"/>
              </w:rPr>
              <w:t>供应商提供设计进度计划及控制措施。设计进度计划及控制措施满足采购要求的时间进度安排一览表或说明，时间进度安排详细完善、科学、合理性高10分；设计进度计划及控制措施较完善、时间进度安排合理，控制措施可行得8分；设计进度计划及控制措施基本清晰明了，能够基本满足项目采购需求得5分；有设计进度计划及控制措施，可行性一般得3分；设计进度计划及控制措施不清晰，内容简单，时间混乱得1分；此项未提供者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工程限额设计控制措施</w:t>
            </w:r>
          </w:p>
        </w:tc>
        <w:tc>
          <w:tcPr>
            <w:tcW w:type="dxa" w:w="2492"/>
          </w:tcPr>
          <w:p>
            <w:pPr>
              <w:pStyle w:val="null3"/>
            </w:pPr>
            <w:r>
              <w:rPr>
                <w:rFonts w:ascii="仿宋_GB2312" w:hAnsi="仿宋_GB2312" w:cs="仿宋_GB2312" w:eastAsia="仿宋_GB2312"/>
              </w:rPr>
              <w:t>供应商提供工程限额设计控制措施。工程限额设计控制措施详细、可行，程序完善、合理，措施有力，可行性强得10分；工程限额设计控制较合理，可行性一般得8分；工程限额设计控制措施基本合理可行得5分；有工程限额设计控制措施，具有可行性得3分；工程限额设计控制措施内容空泛，无实质意义得1分；此项未提供者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供应商提供服务质量保证措施。服务质量保证措施详细，管理制度完整，程序完善、合理，设计方案和图纸编制、审核流程严谨得10分；服务质量保证措施较完整，程序完善，设计方案和图纸编制、审核流程规范得8分；服务质量保证措施基本完善，程序合规，有相应的审核流程得5分；有服务质量保证措施，内容可行得3分；服务质量保证措施内容空泛，无实质意义得1分；此项未提供者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投标人针对本项目有具体可行的团队配置方案，包括但不限于：①团队人员组织架构安排②团队人员的岗位职责③人员配置合理，有丰富的项目经验。 二、评审标准：方案各部分内容全面详细、阐述条理清晰详尽、科学合理、切实可行、符合本项目采购需求得9分；评审内容每缺一项扣3分；评审内容有缺陷（缺陷是指：内容粗略、逻辑混乱、描述过于简单、与项目特点不匹配、凭空编造、逻辑漏洞、出现常识性错误、存在不适用项目实际情况的情形或只有标题没有实质性内容等。）的每项扣0.1-2.9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项目团队成员</w:t>
            </w:r>
          </w:p>
        </w:tc>
        <w:tc>
          <w:tcPr>
            <w:tcW w:type="dxa" w:w="2492"/>
          </w:tcPr>
          <w:p>
            <w:pPr>
              <w:pStyle w:val="null3"/>
            </w:pPr>
            <w:r>
              <w:rPr>
                <w:rFonts w:ascii="仿宋_GB2312" w:hAnsi="仿宋_GB2312" w:cs="仿宋_GB2312" w:eastAsia="仿宋_GB2312"/>
              </w:rPr>
              <w:t>项目团队成员中每有一名相关专业中级及以上（含中级）专业技术职称人员得1 分，满分5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后期配合服务</w:t>
            </w:r>
          </w:p>
        </w:tc>
        <w:tc>
          <w:tcPr>
            <w:tcW w:type="dxa" w:w="2492"/>
          </w:tcPr>
          <w:p>
            <w:pPr>
              <w:pStyle w:val="null3"/>
            </w:pPr>
            <w:r>
              <w:rPr>
                <w:rFonts w:ascii="仿宋_GB2312" w:hAnsi="仿宋_GB2312" w:cs="仿宋_GB2312" w:eastAsia="仿宋_GB2312"/>
              </w:rPr>
              <w:t>一、评审内容 针对本项目有配合服务工作计划及保证措施，包括但不限于以下方面①配合服务工作计划；②内部团队人员之间的配合;③与采购人之间的配合及服务承诺。 二、评审标准：方案各部分内容全面详细、阐述条理清晰详尽、科学合理、切实可行、符合本项目采购需求得9分；评审内容每缺一项扣3分；评审内容有缺陷（缺陷是指：内容粗略、逻辑混乱、描述过于简单、与项目特点不匹配、凭空编造、逻辑漏洞、出现常识性错误、存在不适用项目实际情况的情形或只有标题没有实质性内容等。）的每项扣0.1-2.9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重点难点分析及解决措施</w:t>
            </w:r>
          </w:p>
        </w:tc>
        <w:tc>
          <w:tcPr>
            <w:tcW w:type="dxa" w:w="2492"/>
          </w:tcPr>
          <w:p>
            <w:pPr>
              <w:pStyle w:val="null3"/>
            </w:pPr>
            <w:r>
              <w:rPr>
                <w:rFonts w:ascii="仿宋_GB2312" w:hAnsi="仿宋_GB2312" w:cs="仿宋_GB2312" w:eastAsia="仿宋_GB2312"/>
              </w:rPr>
              <w:t>供应商针对本项目提供重点难点分析及解决措施。重点难点分析全面、科学合理，解决措施切实可行、可操作性强得5分；重点难点分析基本合理，解决措施具有可操作性得3分；重点难点分析内容空泛、无实质意义，未提供解决措施得1分；此项不提供者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供应商提供合理化建议。合理化建议内容合理，针对性强、明确、全面得4分；合理化建议内容有针对性，但尚有可以优化空间得3分； 合理化建议内容一般可行得2分；合理化建议内容不完善、表述前后不一致、套用其他项目内容等得1分，未提供不得分。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供应商提供2022年1月1日至今类似（设计类）项目业绩，每提供一个业绩计2分，满分10分。 备注：以合同签订时间为准，响应文件中需提供合同复印件加盖公章。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详见附件：偏差表.docx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