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版本号：DX2024-239-120250514001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（飞天路校区）图书采购项目（二次）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DX2024-239-1</w:t>
      </w:r>
      <w:r>
        <w:br/>
      </w:r>
      <w:r>
        <w:br/>
      </w:r>
      <w:r>
        <w:br/>
      </w:r>
    </w:p>
    <w:p>
      <w:pPr>
        <w:pStyle w:val="null3"/>
        <w:jc w:val="center"/>
        <w:outlineLvl w:val="2"/>
      </w:pPr>
      <w:r>
        <w:rPr>
          <w:rFonts w:ascii="仿宋_GB2312" w:hAnsi="仿宋_GB2312" w:cs="仿宋_GB2312" w:eastAsia="仿宋_GB2312"/>
          <w:sz w:val="28"/>
          <w:b/>
        </w:rPr>
        <w:t>西安航天城第四小学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西安航天城第四小学</w:t>
      </w:r>
      <w:r>
        <w:rPr>
          <w:rFonts w:ascii="仿宋_GB2312" w:hAnsi="仿宋_GB2312" w:cs="仿宋_GB2312" w:eastAsia="仿宋_GB2312"/>
        </w:rPr>
        <w:t>委托，拟对</w:t>
      </w:r>
      <w:r>
        <w:rPr>
          <w:rFonts w:ascii="仿宋_GB2312" w:hAnsi="仿宋_GB2312" w:cs="仿宋_GB2312" w:eastAsia="仿宋_GB2312"/>
        </w:rPr>
        <w:t>（飞天路校区）图书采购项目（二次）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DX2024-239-1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（飞天路校区）图书采购项目（二次）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西安航天城第四小学（飞天路校区）图书采购项目。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具有财务审计资质单位出具的2023年度或2024年度财务报告或谈判前六个月内其基本账户银行出具的资信证明或财政部门认可的政府采购专业担保机构出具的担保函，以上形式的证明资料提供任何一种即可。3、提供已缴存的 2024年5月1日以来任意一个月的社会保障资金缴存单据或社保机构开具的社会保险参保缴费情况证明。成立时间至提交响应文件截止时间不足一个月或依法不需要缴纳社会保障资金的供应商应提供相关文件证明。4、提供已缴纳的 2024年5月1日以来任意一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与营业执照信息一致，法定代表人授权代表参加的须出具法定代表人授权书，被授权代表本单位证明：谈判截止前六个月内任意一个月社会保险缴纳证明（法人参加只需提供法定代表人身份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4、特定资质：供应商具有相关行政主管部门颁发的《出版物经营许可证》。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陕西省西安市西安航天基地飞天路与神舟大道十字西北角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029-85885885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西安航天城第四小学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西安航天城第四小学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西安航天城第四小学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陕西笃信招标有限公司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联系人：李纪旋、张亚娜、李薇、刘艳娇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西安航天城第四小学（飞天路校区）图书采购项目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西安市航天城第四小学(飞天路校区)图书采购项目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标的名称：西安市航天城第四小学(飞天路校区)图书采购项目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p>
            <w:pPr>
              <w:pStyle w:val="null3"/>
            </w:pPr>
            <w:r>
              <w:rPr>
                <w:rFonts w:ascii="仿宋_GB2312" w:hAnsi="仿宋_GB2312" w:cs="仿宋_GB2312" w:eastAsia="仿宋_GB2312"/>
              </w:rPr>
              <w:t>详见采购书目清单。</w:t>
            </w:r>
          </w:p>
          <w:p>
            <w:pPr>
              <w:pStyle w:val="null3"/>
            </w:pPr>
            <w:r>
              <w:rPr>
                <w:rFonts w:ascii="仿宋_GB2312" w:hAnsi="仿宋_GB2312" w:cs="仿宋_GB2312" w:eastAsia="仿宋_GB2312"/>
              </w:rPr>
              <w:t>二、交货时间：自合同签订之日起30天内完成交货。</w:t>
            </w:r>
          </w:p>
          <w:p>
            <w:pPr>
              <w:pStyle w:val="null3"/>
            </w:pPr>
            <w:r>
              <w:rPr>
                <w:rFonts w:ascii="仿宋_GB2312" w:hAnsi="仿宋_GB2312" w:cs="仿宋_GB2312" w:eastAsia="仿宋_GB2312"/>
              </w:rPr>
              <w:t>三、图书到货率：不低于95%。</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自合同签订之日起30天内完成交货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产品）按下列比例支付价款：合同签订生效后，所有货物（产品）供货完成，整体项目经验收合格后，且双方无争议，根据实际供书采购量及合同单价（下浮率）据实结算，自验收合格之日起30日内甲方一次性支付所有合同款项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中标供应商领取中标通知书时，向采购代理机构提供一正两副纸质响应文件及电子版1份（签字盖章扫描PDF和word文档格式，U盘存储）。 2.供应商应自投标文件递交截止时间起至开标结束，保持在线状态。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2、提供具有财务审计资质单位出具的2023年度或2024年度财务报告或谈判前六个月内其基本账户银行出具的资信证明或财政部门认可的政府采购专业担保机构出具的担保函，以上形式的证明资料提供任何一种即可。3、提供已缴存的 2024年5月1日以来任意一个月的社会保障资金缴存单据或社保机构开具的社会保险参保缴费情况证明。成立时间至提交响应文件截止时间不足一个月或依法不需要缴纳社会保障资金的供应商应提供相关文件证明。4、提供已缴纳的 2024年5月1日以来任意一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与营业执照信息一致，法定代表人授权代表参加的须出具法定代表人授权书，被授权代表本单位证明：谈判截止前六个月内任意一个月社会保险缴纳证明（法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供应商具有相关行政主管部门颁发的《出版物经营许可证》。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 符合要求；（3）计量单位、报价货币均符合谈判文件要求；（4）未超出采购预算或谈判文件规定的最高限价。</w:t>
            </w:r>
          </w:p>
        </w:tc>
        <w:tc>
          <w:tcPr>
            <w:tcW w:type="dxa" w:w="1661"/>
          </w:tcPr>
          <w:p>
            <w:pPr>
              <w:pStyle w:val="null3"/>
            </w:pPr>
            <w:r>
              <w:rPr>
                <w:rFonts w:ascii="仿宋_GB2312" w:hAnsi="仿宋_GB2312" w:cs="仿宋_GB2312" w:eastAsia="仿宋_GB2312"/>
              </w:rPr>
              <w:t>开标一览表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无其他谈判文件或法规明确规定响应无效的事项，没有不符合谈判文件规定的被视为无效响应的其他条款。</w:t>
            </w:r>
          </w:p>
        </w:tc>
        <w:tc>
          <w:tcPr>
            <w:tcW w:type="dxa" w:w="1661"/>
          </w:tcPr>
          <w:p>
            <w:pPr>
              <w:pStyle w:val="null3"/>
            </w:pPr>
            <w:r>
              <w:rPr>
                <w:rFonts w:ascii="仿宋_GB2312" w:hAnsi="仿宋_GB2312" w:cs="仿宋_GB2312" w:eastAsia="仿宋_GB2312"/>
              </w:rPr>
              <w:t>人员配备 开标一览表 承诺书 供应商廉洁自律承诺书 报价表 响应文件封面 项目保障措施 供应商企业关系关联承诺书 供应商认为有必要补充说明的事项 提供政府采购政策等证明材料 售后服务 标的清单 项目实施方案 响应函 近年业绩的有关证明材料 供应商资格证明文件 合同主要条款偏离表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详见附件：项目保障措施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