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版本号：HYTF-20250503320250527001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航天3号110kV变电站-建筑工程监理服务项目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HYTF-202505033</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航天3号110kV变电站-建筑工程监理服务项目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航天3号110kV变电站-建筑工程监理服务项目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航天3号110kV变电站-建筑工程监理服务，1项。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采购包1（航天3号110kV变电站-建筑工程监理服务项目）：属于专门面向中小企业采购。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10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4、社保缴纳证明：提供2024年10月至今已缴存任意一个月社会保障资金缴存单据或社保机构开具的社会保险参保缴费证明，依法不需要缴纳社会保障资金的单位应提供相应证明文件；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8、企业资质：供应商应具备【工程监理综合资质】或【市政公用工程监理乙级】及以上或【电力工程专业监理乙级】及以上资质；</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029-85875753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航天3号110kV变电站-建筑工程监理服务，1项。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360,400.00</w:t>
      </w:r>
    </w:p>
    <w:p>
      <w:pPr>
        <w:pStyle w:val="null3"/>
      </w:pPr>
      <w:r>
        <w:rPr>
          <w:rFonts w:ascii="仿宋_GB2312" w:hAnsi="仿宋_GB2312" w:cs="仿宋_GB2312" w:eastAsia="仿宋_GB2312"/>
        </w:rPr>
        <w:t>采购包最高限价（元）: 360,400.00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360400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标的名称：360400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结合西安卫星测控中心大兆新区用电需求及航天基地二期发展需要，拟在西安市长安区</w:t>
            </w:r>
            <w:r>
              <w:rPr>
                <w:rFonts w:ascii="仿宋_GB2312" w:hAnsi="仿宋_GB2312" w:cs="仿宋_GB2312" w:eastAsia="仿宋_GB2312"/>
                <w:sz w:val="24"/>
              </w:rPr>
              <w:t>X113县道(新雁引路)西侧、在建纬三路交叉口西北方向，建设航天3号110kV变电站。</w:t>
            </w:r>
          </w:p>
          <w:p>
            <w:pPr>
              <w:pStyle w:val="null3"/>
              <w:ind w:firstLine="480"/>
              <w:jc w:val="both"/>
            </w:pPr>
            <w:r>
              <w:rPr>
                <w:rFonts w:ascii="仿宋_GB2312" w:hAnsi="仿宋_GB2312" w:cs="仿宋_GB2312" w:eastAsia="仿宋_GB2312"/>
                <w:sz w:val="24"/>
              </w:rPr>
              <w:t>变电站的建设规模为本期主变容量</w:t>
            </w:r>
            <w:r>
              <w:rPr>
                <w:rFonts w:ascii="仿宋_GB2312" w:hAnsi="仿宋_GB2312" w:cs="仿宋_GB2312" w:eastAsia="仿宋_GB2312"/>
                <w:sz w:val="24"/>
              </w:rPr>
              <w:t>2×50MVA，远期主变容量3×50MVA；110kV本远期单母线分段接线；变电站拟参照国家电网公司典型设计110-A2-6方案，全户内变电站建设，拟建站址所在地目前为建设用地，站址总占地面积0.5463hm2(8.2亩)，围墙内用地面积0.3680hm2(5.52亩)。进站道路征地面积105m2 (0.16亩)，道路红线代征地面积1678m2 (2.52亩)，进站道路由站区南侧在建的纬三路接入站区，进站道路长度约15m。</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航天</w:t>
            </w:r>
            <w:r>
              <w:rPr>
                <w:rFonts w:ascii="仿宋_GB2312" w:hAnsi="仿宋_GB2312" w:cs="仿宋_GB2312" w:eastAsia="仿宋_GB2312"/>
                <w:sz w:val="24"/>
              </w:rPr>
              <w:t>3号110kV变电站工程监理服务；受采购人委托，通过对工程项目进行监督和管理，确保工程质量、进度、投资等方面达到预期目标，保障采购人的利益。</w:t>
            </w:r>
          </w:p>
          <w:p>
            <w:pPr>
              <w:pStyle w:val="null3"/>
              <w:ind w:firstLine="480"/>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1、服务期限：自合同签订之日起8个月</w:t>
            </w:r>
          </w:p>
          <w:p>
            <w:pPr>
              <w:pStyle w:val="null3"/>
              <w:ind w:firstLine="480"/>
              <w:jc w:val="both"/>
            </w:pPr>
            <w:r>
              <w:rPr>
                <w:rFonts w:ascii="仿宋_GB2312" w:hAnsi="仿宋_GB2312" w:cs="仿宋_GB2312" w:eastAsia="仿宋_GB2312"/>
                <w:sz w:val="24"/>
              </w:rPr>
              <w:t>2、款项结算：工程完工50%后支付监理合同总价的百分之四十(40%)进度款，剩余合同款待项目竣工验收合格后，采购方以转账方式一次性结清剩余款项。</w:t>
            </w:r>
          </w:p>
          <w:p>
            <w:pPr>
              <w:pStyle w:val="null3"/>
              <w:ind w:firstLine="480"/>
              <w:jc w:val="both"/>
            </w:pPr>
            <w:r>
              <w:rPr>
                <w:rFonts w:ascii="仿宋_GB2312" w:hAnsi="仿宋_GB2312" w:cs="仿宋_GB2312" w:eastAsia="仿宋_GB2312"/>
                <w:sz w:val="24"/>
              </w:rPr>
              <w:t>四、服务要求及标准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监理人在监理中必须遵守《建设工程监理规范（</w:t>
            </w:r>
            <w:r>
              <w:rPr>
                <w:rFonts w:ascii="仿宋_GB2312" w:hAnsi="仿宋_GB2312" w:cs="仿宋_GB2312" w:eastAsia="仿宋_GB2312"/>
                <w:sz w:val="24"/>
              </w:rPr>
              <w:t>GB50319-2013）》的规定，必须使用中华人民共和国《工程建设标准强制性条文》规定的标准、规范，以及国家、陕西省和项目所在地关于工程监理、施工方面现行标准、规范、规程和办法等文件规定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监理人应依据项目合同条件的规定，通过有效地计划、组织和协调，监督相关各方履行各自的职责，如实地记录、作证，以实施质量控制为主,进行进度、投资控制、安全文明及合同管理，使本项目达到采购文件规定的工程标准和按期完工。</w:t>
            </w:r>
          </w:p>
          <w:p>
            <w:pPr>
              <w:pStyle w:val="null3"/>
              <w:ind w:firstLine="480"/>
              <w:jc w:val="both"/>
            </w:pPr>
            <w:r>
              <w:rPr>
                <w:rFonts w:ascii="仿宋_GB2312" w:hAnsi="仿宋_GB2312" w:cs="仿宋_GB2312" w:eastAsia="仿宋_GB2312"/>
                <w:sz w:val="24"/>
              </w:rPr>
              <w:t>3、监理单位及其所属人员必须公正客观、清正廉洁，及时准确、严格履行职责，实施巡视及平行检查、核验，实行旁站制度，及时验收、签证。所有监理事项均实行即签、日核、周清、月结资料管理制度。及时收集和完善所有监理资料，并妥善安全保管。</w:t>
            </w:r>
          </w:p>
          <w:p>
            <w:pPr>
              <w:pStyle w:val="null3"/>
              <w:ind w:firstLine="480"/>
              <w:jc w:val="both"/>
            </w:pPr>
            <w:r>
              <w:rPr>
                <w:rFonts w:ascii="仿宋_GB2312" w:hAnsi="仿宋_GB2312" w:cs="仿宋_GB2312" w:eastAsia="仿宋_GB2312"/>
                <w:sz w:val="24"/>
              </w:rPr>
              <w:t>4、派驻现场的监理组人员名单须经采购人确认，未经采购人书面批准不得更换。</w:t>
            </w:r>
          </w:p>
          <w:p>
            <w:pPr>
              <w:pStyle w:val="null3"/>
              <w:jc w:val="both"/>
            </w:pPr>
            <w:r>
              <w:rPr>
                <w:rFonts w:ascii="仿宋_GB2312" w:hAnsi="仿宋_GB2312" w:cs="仿宋_GB2312" w:eastAsia="仿宋_GB2312"/>
                <w:sz w:val="24"/>
              </w:rPr>
              <w:t xml:space="preserve">   5、总监理工程师必须常驻施工现场，如有不尽其职或虚挂其名的情况，采购人有权要求调换具有相应资历的人选的权利，直至有权要求监理单位退场并单方面终止合同。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工程完工50%后支付监理合同总价的百分之四十(40%)进度款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剩余合同款待项目竣工验收合格后，采购方以转账方式一次性结清剩余款项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航天3号110kV变电站-建筑工程监理服务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供应商应具备【工程监理综合资质】或【市政公用工程监理乙级】及以上或【电力工程专业监理乙级】及以上资质；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中小企业声明函 报价表 供应商承诺书.docx 响应文件封面 残疾人福利性单位声明函 标的清单 其他资料.docx 资格证明材料.docx 响应函 偏差表.docx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中小企业声明函 报价表 供应商承诺书.docx 响应文件封面 残疾人福利性单位声明函 标的清单 其他资料.docx 资格证明材料.docx 响应函 偏差表.docx 服务方案.docx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监理工作程序及工作流程</w:t>
            </w:r>
          </w:p>
        </w:tc>
        <w:tc>
          <w:tcPr>
            <w:tcW w:type="dxa" w:w="2492"/>
          </w:tcPr>
          <w:p>
            <w:pPr>
              <w:pStyle w:val="null3"/>
            </w:pPr>
            <w:r>
              <w:rPr>
                <w:rFonts w:ascii="仿宋_GB2312" w:hAnsi="仿宋_GB2312" w:cs="仿宋_GB2312" w:eastAsia="仿宋_GB2312"/>
              </w:rPr>
              <w:t>供应商提供监理工作程序及工作流程。监理工作程序及工作流程内容完整，流程清晰合理，逻辑性强得10分；监理工作程序及工作流程内容较为完善，流程合理，逻辑性较强得8分；监理工作程序及工作流程内容基本完善，能够保障本项目顺利实施得5分；有监理工作程序及工作流程内容可行得3分；监理工作程序及工作流程内容空泛无实质性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供应商提供质量控制管理措施。质量控制管理措施内容全面，科学合理、切实可行、可操作性强得8分；质量控制管理措施内容基本齐全，合理可行，有一定的可操作性得5分；有质量控制管理措施，可行得3分；质量控制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供应商提供安全文明施工监督管理措施。安全文明施工监督管理措施内容全面，科学合理、切实可行、可操作性强得8分；安全文明施工监督管理措施内容基本齐全，合理可行，有一定的可操作性得5分；有安全文明施工监督管理措施，可行得3分；安全文明施工监督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供应商提供进度控制管理措施。进度控制管理措施内容全面，科学合理、切实可行、可操作性强得8分；进度控制管理措施内容基本齐全，合理可行，有一定的可操作性得5分；有进度控制管理措施，可行得3分；进度控制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供应商提供投资控制管理措施。投资控制管理措施内容全面，科学合理、切实可行、可操作性强得8分；投资控制管理措施内容基本齐全，合理可行，有一定的可操作性得5分；有投资控制管理措施，可行得3分；投资控制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供应商提供合同方面协调管理措施。合同方面协调管理措施内容全面，科学合理、切实可行、可操作性强得8分；合同方面协调管理措施内容基本齐全，合理可行，有一定的可操作性得5分；有合同方面协调管理措施，可行得3分；合同方面协调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供应商提供信息方面协调管理措施。信息方面协调管理措施内容全面，科学合理、切实可行、可操作性强得8分；信息方面协调管理措施内容基本齐全，合理可行，有一定的可操作性得5分；有信息方面协调管理措施，可行得3分；信息方面协调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供应商提供保修阶段的服务管理措施。保修阶段的服务管理措施内容全面，科学合理、切实可行、可操作性强得8分；保修阶段的服务管理措施内容基本齐全，合理可行，有一定的可操作性得5分；有保修阶段的服务管理措施，可行得3分；保修阶段的服务管理措施空泛，内容无实质性意义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针对本项目需配备监理服务团队，包括但不限于监理机构设置、组成人员名单、监理人员岗位职责进行评审。 整体人员配备合理、职责分工明确、业务素质过硬，能完全保证项目顺利实施的计8分；整体人员配备较为合理、职责基本明确、业务素质一般计5分；整体人员配备能够满足本项目实施，有相关的职责分工计3分； 整体人员配备欠缺合理性、职责不清、业务素质较差，不能保证项目顺利实施的计1分；此项不提供者不得分。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针对本项目提供重点难点分析及解决措施。重点难点分析全面、科学合理，解决措施切实可行、可操作性强得3分；重点难点分析基本合理，解决措施具有可操作性得2分；重点难点分析内容空泛、无实质意义，未提供解决措施得1分；此项不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3分；合理化建议内容有针对性，但尚有可以优化空间得2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供应商提供2022年1月1日至今类似（监理类）项目业绩，每提供一个业绩计2分，满分10分。 备注：响应文件中需提供合同复印件加盖公章。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