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BED805">
      <w:pPr>
        <w:pStyle w:val="4"/>
        <w:bidi w:val="0"/>
        <w:rPr>
          <w:rFonts w:hint="eastAsia"/>
          <w:highlight w:val="none"/>
        </w:rPr>
      </w:pPr>
      <w:r>
        <w:rPr>
          <w:rFonts w:hint="eastAsia"/>
          <w:highlight w:val="none"/>
        </w:rPr>
        <w:t>产品质量保证</w:t>
      </w:r>
    </w:p>
    <w:p w14:paraId="6E331930">
      <w:pPr>
        <w:jc w:val="center"/>
        <w:rPr>
          <w:rFonts w:hint="eastAsia"/>
          <w:highlight w:val="none"/>
        </w:rPr>
      </w:pPr>
      <w:r>
        <w:rPr>
          <w:rFonts w:hint="eastAsia" w:ascii="仿宋" w:hAnsi="仿宋" w:eastAsia="仿宋" w:cs="仿宋"/>
          <w:highlight w:val="none"/>
          <w:lang w:eastAsia="zh-CN"/>
        </w:rPr>
        <w:t>供应商根据打分自行编制</w:t>
      </w:r>
    </w:p>
    <w:p w14:paraId="4266F50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37C4737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2025-05-15T08:49:27Z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