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版本号：DX2025-17120250610001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科技文化长廊建设（装修）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DX2025-171</w:t>
      </w:r>
      <w:r>
        <w:br/>
      </w:r>
      <w:r>
        <w:br/>
      </w:r>
      <w:r>
        <w:br/>
      </w:r>
    </w:p>
    <w:p>
      <w:pPr>
        <w:pStyle w:val="null3"/>
        <w:jc w:val="center"/>
        <w:outlineLvl w:val="2"/>
      </w:pPr>
      <w:r>
        <w:rPr>
          <w:rFonts w:ascii="仿宋_GB2312" w:hAnsi="仿宋_GB2312" w:cs="仿宋_GB2312" w:eastAsia="仿宋_GB2312"/>
          <w:sz w:val="28"/>
          <w:b/>
        </w:rPr>
        <w:t>西安航天城第三小学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西安航天城第三小学</w:t>
      </w:r>
      <w:r>
        <w:rPr>
          <w:rFonts w:ascii="仿宋_GB2312" w:hAnsi="仿宋_GB2312" w:cs="仿宋_GB2312" w:eastAsia="仿宋_GB2312"/>
        </w:rPr>
        <w:t>委托，拟对</w:t>
      </w:r>
      <w:r>
        <w:rPr>
          <w:rFonts w:ascii="仿宋_GB2312" w:hAnsi="仿宋_GB2312" w:cs="仿宋_GB2312" w:eastAsia="仿宋_GB2312"/>
        </w:rPr>
        <w:t>科技文化长廊建设（装修）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DX2025-171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科技文化长廊建设（装修）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西安航天城第三小学科技文化长廊建设（装修）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采购包1（科技文化长廊建设（装修））：属于专门面向中小企业采购。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4、特殊资格：1.供应商须具备建筑工程施工总承包三级及以上或建筑装修装饰工程专业承包二级及以上资质，具有合格有效的安全生产许可证；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西安市航天基地神州二路369号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029-85839818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李薇、张亚娜、李纪旋、刘艳娇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注：代理服务费不足6000元的，按6000元收取。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西安航天城第三小学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联系人：张亚娜、李纪旋、李薇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180000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一、概况及实施范围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实施</w:t>
            </w:r>
            <w:r>
              <w:rPr>
                <w:rFonts w:ascii="仿宋_GB2312" w:hAnsi="仿宋_GB2312" w:cs="仿宋_GB2312" w:eastAsia="仿宋_GB2312"/>
                <w:sz w:val="21"/>
              </w:rPr>
              <w:t>地点：甲方指定地点；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、工期：</w:t>
            </w:r>
            <w:r>
              <w:rPr>
                <w:rFonts w:ascii="仿宋_GB2312" w:hAnsi="仿宋_GB2312" w:cs="仿宋_GB2312" w:eastAsia="仿宋_GB2312"/>
                <w:sz w:val="21"/>
              </w:rPr>
              <w:t>45天</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、质保期：</w:t>
            </w:r>
            <w:r>
              <w:rPr>
                <w:rFonts w:ascii="仿宋_GB2312" w:hAnsi="仿宋_GB2312" w:cs="仿宋_GB2312" w:eastAsia="仿宋_GB2312"/>
                <w:sz w:val="21"/>
              </w:rPr>
              <w:t>2年</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工程量清单另附</w:t>
            </w:r>
            <w:r>
              <w:rPr>
                <w:rFonts w:ascii="仿宋_GB2312" w:hAnsi="仿宋_GB2312" w:cs="仿宋_GB2312" w:eastAsia="仿宋_GB2312"/>
                <w:sz w:val="21"/>
                <w:b/>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本项目通过电子化交易系统协商，供应商需在电子化交易系统上传响应的文件。中标供应商领取中标（成交）通知书时，向采购代理机构提供一正两副纸质投标文件及电子版1份（签字盖章扫描PDF和word文档格式，U盘存储）。 3.供应商应自协商文件递交截止时间起至开标结束，保持在线状态。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第一次磋商报价表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完全理解并接受《供应商廉洁自律承诺书》、《供应商企业关系关联承诺书》、《承诺书》内容。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响应文件对付款、工期、合同条款等商务要求进行响应，根据响应程度计0-3分。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（合同）商务主要条款响应偏差表.docx</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具体可行的施工方案，包括但不限于：①提供详细的施工方案；②拟投入的施工设施、设备及配置情况；③施工进度计划安排：④施工工作质量、安全、进度控制保障措施：⑤数据及资料管理方案；⑥组织协调内容及措施；⑦工作重点与难点分析及对应措施。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上述7项评审内容全部满足评审标准得35分，每有一个评审内容缺项扣5分，每有一项评审内容存在缺陷，扣（0-5）分，扣完为止。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具体可行的人员配置方案，包括但不限于①团队机构设置、组成人员名单（包括但不限于项目经理、技术负责人、施工员、安全员、质量员、资料员），人员岗位职责；②项目经理及团队人员中具有与本项目相关的专业人员证书（包括但不限于学历证、职称证、岗位证书等），提供复印件。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 说明：缺陷是指内容没有结合项目实际需求、虽有内容但不完善、内容表述前后不一致、方案针对性较弱或与项目需求不匹配及其他不利于项目实施的等任意一种情形。 注:项目负责人及团队人员提供有效的相关证书复印件并加盖公章。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针对本项目提供具体可行的应急预案，包括但不限于： ①详细应急保障及应急处理团队； ②针对突发事件及紧急情况（包括防火、防盗、防骗、防事故，发生冰雹、暴雪、暴雨等灾害性天气，地震、火灾及停水、停电等其他突发事件）的应急预案； ③应急处理程序及设施设备。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及合理化建议，包括但不限于①服务质量承诺；②服务响应时限、人员到位、安全保障、不能完全履行承诺时愿意接受相关处罚等以及其他服务的承诺；③有利于本项目实施的合理化建议。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详见附件：（合同）商务主要条款响应偏差表.docx</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详见附件：应急预案</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