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bidi w:val="0"/>
        <w:rPr>
          <w:rFonts w:hint="eastAsia"/>
        </w:rPr>
      </w:pPr>
      <w:r>
        <w:rPr>
          <w:rFonts w:hint="eastAsia"/>
        </w:rPr>
        <w:t>商务主要条款响应偏差表</w:t>
      </w:r>
    </w:p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</w:rPr>
        <w:t xml:space="preserve">              </w:t>
      </w:r>
    </w:p>
    <w:tbl>
      <w:tblPr>
        <w:tblStyle w:val="15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2、供应商必须据实填写，不得虚假响应，否则将取消其磋商或成交资格，并按有关规定进处罚。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 w14:paraId="2E6265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030151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