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5"/>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8"/>
          <w:rFonts w:hint="eastAsia" w:ascii="仿宋" w:hAnsi="仿宋" w:eastAsia="仿宋" w:cs="仿宋"/>
          <w:highlight w:val="none"/>
        </w:rPr>
      </w:pPr>
      <w:bookmarkStart w:id="39" w:name="_GoBack"/>
      <w:r>
        <w:rPr>
          <w:rStyle w:val="8"/>
          <w:rFonts w:hint="eastAsia" w:ascii="仿宋" w:hAnsi="仿宋" w:eastAsia="仿宋" w:cs="仿宋"/>
          <w:szCs w:val="21"/>
          <w:highlight w:val="none"/>
        </w:rPr>
        <w:t>供应商资格证明文件</w:t>
      </w:r>
    </w:p>
    <w:bookmarkEnd w:id="39"/>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4"/>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32744"/>
      <w:bookmarkStart w:id="1" w:name="_Toc495671262"/>
      <w:bookmarkStart w:id="2" w:name="_Toc495681414"/>
      <w:bookmarkStart w:id="3" w:name="_Toc495681405"/>
      <w:bookmarkStart w:id="4" w:name="_Toc495681251"/>
      <w:bookmarkStart w:id="5" w:name="_Toc495908056"/>
      <w:bookmarkStart w:id="6" w:name="_Toc495671271"/>
      <w:bookmarkStart w:id="7" w:name="_Toc25390"/>
      <w:bookmarkStart w:id="8" w:name="_Toc31488"/>
      <w:bookmarkStart w:id="9" w:name="_Toc27035"/>
      <w:bookmarkStart w:id="10" w:name="_Toc495681260"/>
      <w:bookmarkStart w:id="11" w:name="_Toc495681541"/>
      <w:bookmarkStart w:id="12" w:name="_Toc495908047"/>
      <w:bookmarkStart w:id="13" w:name="_Toc495681532"/>
      <w:r>
        <w:rPr>
          <w:rFonts w:hint="eastAsia" w:ascii="仿宋" w:hAnsi="仿宋" w:eastAsia="仿宋" w:cs="仿宋"/>
          <w:b/>
          <w:bCs/>
          <w:color w:val="auto"/>
          <w:sz w:val="32"/>
          <w:szCs w:val="32"/>
          <w:highlight w:val="none"/>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10600"/>
      <w:bookmarkStart w:id="15" w:name="_Toc32473"/>
      <w:bookmarkStart w:id="16" w:name="_Toc7510"/>
      <w:bookmarkStart w:id="17" w:name="_Toc31106"/>
      <w:bookmarkStart w:id="18" w:name="_Toc22457"/>
      <w:bookmarkStart w:id="19" w:name="_Toc18949"/>
      <w:bookmarkStart w:id="20" w:name="_Toc20452"/>
      <w:bookmarkStart w:id="21" w:name="_Toc17244"/>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4"/>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81406"/>
      <w:bookmarkStart w:id="27" w:name="_Toc495681252"/>
      <w:bookmarkStart w:id="28" w:name="_Toc495681533"/>
      <w:bookmarkStart w:id="29" w:name="_Toc1610"/>
      <w:bookmarkStart w:id="30" w:name="_Toc495671263"/>
      <w:bookmarkStart w:id="31" w:name="_Toc495908048"/>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81534"/>
      <w:bookmarkStart w:id="33" w:name="_Toc495681253"/>
      <w:bookmarkStart w:id="34" w:name="_Toc495908049"/>
      <w:bookmarkStart w:id="35" w:name="_Toc495671264"/>
      <w:bookmarkStart w:id="36" w:name="_Toc495681407"/>
      <w:bookmarkStart w:id="37" w:name="_Toc18921"/>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bookmarkEnd w:id="38"/>
    <w:p w14:paraId="6CA63A54">
      <w:pPr>
        <w:pStyle w:val="3"/>
        <w:rPr>
          <w:rFonts w:hint="eastAsia" w:ascii="仿宋" w:hAnsi="仿宋" w:eastAsia="仿宋" w:cs="仿宋"/>
          <w:szCs w:val="24"/>
          <w:highlight w:val="none"/>
        </w:rPr>
        <w:sectPr>
          <w:pgSz w:w="11906" w:h="16838"/>
          <w:pgMar w:top="1417" w:right="1701"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3B5923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5"/>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6E57A6"/>
    <w:rsid w:val="3553070C"/>
    <w:rsid w:val="36E20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eastAsia="宋体" w:cs="Times New Roman"/>
      <w:sz w:val="24"/>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标题 2 字符"/>
    <w:link w:val="2"/>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2025-06-18T04:49:55Z</dcterms:created>
  <dc:creator>Administrator</dc:creator>
  <cp:lastModifiedBy>陕西笃信招标有限公司</cp:lastModifiedBy>
  <dcterms:modified xsi:type="dcterms:W3CDTF">2025-06-18T04:51:08Z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eyJoZGlkIjoiZDMxYWVkY2UxMzZjOWRkZjZmOGFlZjA0NTA2NzgyZjMiLCJ1c2VySWQiOiI5MTQ3Njg1NjkifQ==</vt:lpwstr>
  </property>
  <property fmtid="{D5CDD505-2E9C-101B-9397-08002B2CF9AE}" pid="4" name="ICV">
    <vt:lpwstr>095F40146FED455193FB77D83BAA5D03_13</vt:lpwstr>
  </property>
</Properties>
</file>