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</w:pPr>
      <w:bookmarkStart w:id="19" w:name="_GoBack"/>
      <w:r>
        <w:rPr>
          <w:rFonts w:hint="eastAsia" w:ascii="仿宋" w:hAnsi="仿宋" w:eastAsia="仿宋" w:cs="仿宋"/>
          <w:b/>
          <w:bCs/>
          <w:color w:val="auto"/>
          <w:sz w:val="36"/>
          <w:szCs w:val="16"/>
          <w:highlight w:val="none"/>
          <w:lang w:val="zh-CN"/>
        </w:rPr>
        <w:t>服务方案</w:t>
      </w:r>
      <w:bookmarkEnd w:id="19"/>
    </w:p>
    <w:p w14:paraId="4C169D67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p w14:paraId="02846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</w:pPr>
      <w:bookmarkStart w:id="0" w:name="_Toc20454"/>
      <w:bookmarkStart w:id="1" w:name="_Toc5497"/>
      <w:bookmarkStart w:id="2" w:name="_Toc26049"/>
      <w:bookmarkStart w:id="3" w:name="_Toc13638"/>
      <w:bookmarkStart w:id="4" w:name="_Toc7203"/>
      <w:bookmarkStart w:id="5" w:name="_Toc1717"/>
      <w:bookmarkStart w:id="6" w:name="_Toc17447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 w:eastAsia="zh-CN"/>
        </w:rPr>
        <w:t>（一）整体服务方案</w:t>
      </w:r>
    </w:p>
    <w:p w14:paraId="6CC09272">
      <w:pP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</w:p>
    <w:p w14:paraId="44B6DDBB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（二）人员配备</w:t>
      </w:r>
    </w:p>
    <w:p w14:paraId="35EDC12B">
      <w:pPr>
        <w:pStyle w:val="9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22689"/>
      <w:bookmarkStart w:id="8" w:name="_Toc803"/>
      <w:bookmarkStart w:id="9" w:name="_Toc11401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4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0D51421">
      <w:pPr>
        <w:pStyle w:val="9"/>
        <w:keepNext/>
        <w:pageBreakBefore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16883"/>
      <w:bookmarkStart w:id="11" w:name="_Toc32134"/>
      <w:bookmarkStart w:id="12" w:name="_Toc22471"/>
      <w:bookmarkStart w:id="13" w:name="_Toc30835"/>
      <w:bookmarkStart w:id="14" w:name="_Toc26148"/>
      <w:bookmarkStart w:id="15" w:name="_Toc1385"/>
      <w:bookmarkStart w:id="16" w:name="_Toc17690"/>
      <w:bookmarkStart w:id="17" w:name="_Toc14891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5C08E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8CDAED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75B9B87C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70E75E56">
      <w:pPr>
        <w:pStyle w:val="11"/>
        <w:rPr>
          <w:color w:val="auto"/>
          <w:highlight w:val="none"/>
        </w:rPr>
      </w:pPr>
    </w:p>
    <w:p w14:paraId="03443169">
      <w:pPr>
        <w:bidi w:val="0"/>
        <w:jc w:val="center"/>
        <w:rPr>
          <w:rFonts w:hint="eastAsia" w:ascii="仿宋" w:hAnsi="仿宋" w:eastAsia="仿宋" w:cs="仿宋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  <w:lang w:eastAsia="zh-CN"/>
        </w:rPr>
        <w:br w:type="page"/>
      </w:r>
    </w:p>
    <w:p w14:paraId="771AFBA8">
      <w:pPr>
        <w:pageBreakBefore/>
        <w:spacing w:line="360" w:lineRule="auto"/>
        <w:jc w:val="both"/>
        <w:outlineLvl w:val="2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p w14:paraId="50F53DB6">
      <w:pPr>
        <w:jc w:val="center"/>
        <w:rPr>
          <w:rFonts w:hint="eastAsia" w:ascii="仿宋" w:hAnsi="仿宋" w:eastAsia="仿宋" w:cs="仿宋"/>
          <w:b/>
          <w:sz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036BD0F8">
      <w:pPr>
        <w:pStyle w:val="7"/>
        <w:keepNext w:val="0"/>
        <w:keepLines w:val="0"/>
        <w:pageBreakBefore/>
        <w:ind w:left="0" w:leftChars="0" w:firstLine="0" w:firstLineChars="0"/>
        <w:jc w:val="both"/>
        <w:rPr>
          <w:color w:val="auto"/>
          <w:highlight w:val="none"/>
        </w:rPr>
      </w:pPr>
      <w:bookmarkStart w:id="18" w:name="_Toc17151"/>
      <w:r>
        <w:rPr>
          <w:rStyle w:val="14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（四）应急预案措施</w:t>
      </w:r>
    </w:p>
    <w:bookmarkEnd w:id="18"/>
    <w:p w14:paraId="2F455F01">
      <w:pPr>
        <w:tabs>
          <w:tab w:val="left" w:pos="1260"/>
        </w:tabs>
        <w:spacing w:line="360" w:lineRule="auto"/>
        <w:ind w:firstLine="3360" w:firstLineChars="140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81C165C"/>
    <w:rsid w:val="231A50A3"/>
    <w:rsid w:val="3FAD5A88"/>
    <w:rsid w:val="54AB6EC6"/>
    <w:rsid w:val="550146D2"/>
    <w:rsid w:val="5DD71A06"/>
    <w:rsid w:val="66E2035A"/>
    <w:rsid w:val="69023BD7"/>
    <w:rsid w:val="7658763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3"/>
    <w:basedOn w:val="1"/>
    <w:next w:val="8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9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10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4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3B45E54FCB074C7A975C721AF150C4DE_13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