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版本号：HRC-ZBDL-2025-0082620250624001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环形跑道及篮球场维修项目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HRC-ZBDL-2025-00826</w:t>
      </w:r>
      <w:r>
        <w:br/>
      </w:r>
      <w:r>
        <w:br/>
      </w:r>
      <w:r>
        <w:br/>
      </w:r>
    </w:p>
    <w:p>
      <w:pPr>
        <w:pStyle w:val="null3"/>
        <w:jc w:val="center"/>
        <w:outlineLvl w:val="2"/>
      </w:pPr>
      <w:r>
        <w:rPr>
          <w:rFonts w:ascii="仿宋_GB2312" w:hAnsi="仿宋_GB2312" w:cs="仿宋_GB2312" w:eastAsia="仿宋_GB2312"/>
          <w:sz w:val="28"/>
          <w:b/>
        </w:rPr>
        <w:t>西安航天城第一小学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西安航天城第一小学</w:t>
      </w:r>
      <w:r>
        <w:rPr>
          <w:rFonts w:ascii="仿宋_GB2312" w:hAnsi="仿宋_GB2312" w:cs="仿宋_GB2312" w:eastAsia="仿宋_GB2312"/>
        </w:rPr>
        <w:t>委托，拟对</w:t>
      </w:r>
      <w:r>
        <w:rPr>
          <w:rFonts w:ascii="仿宋_GB2312" w:hAnsi="仿宋_GB2312" w:cs="仿宋_GB2312" w:eastAsia="仿宋_GB2312"/>
        </w:rPr>
        <w:t>环形跑道及篮球场维修项目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HRC-ZBDL-2025-00826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环形跑道及篮球场维修项目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西安航天城第一小学环形跑道及篮球场维修项目建设内容为：铲除原破损跑道面层、篮球场硅PU;铺设新的塑胶跑道和硅PU篮球场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采购包1（学校环形跑道及篮球场地维修）：属于专门面向小微企业采购。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1、政府采购法第二十二条规定：供应商须提供符合《中华人民共和国政府采购法》第二十二条的规定的资格承诺函。</w:t>
      </w:r>
    </w:p>
    <w:p>
      <w:pPr>
        <w:pStyle w:val="null3"/>
      </w:pPr>
      <w:r>
        <w:rPr>
          <w:rFonts w:ascii="仿宋_GB2312" w:hAnsi="仿宋_GB2312" w:cs="仿宋_GB2312" w:eastAsia="仿宋_GB2312"/>
        </w:rPr>
        <w:t>2、法定代表人授权委托书：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p>
      <w:pPr>
        <w:pStyle w:val="null3"/>
      </w:pPr>
      <w:r>
        <w:rPr>
          <w:rFonts w:ascii="仿宋_GB2312" w:hAnsi="仿宋_GB2312" w:cs="仿宋_GB2312" w:eastAsia="仿宋_GB2312"/>
        </w:rPr>
        <w:t>3、信用记录：经查，未被列入“信用中国”网站记录的“失信被执行人”或“重大税收违法案件当事人”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4、特殊资格要求：1.供应商须具备建筑工程施工总承包三级及以上资质，具有合格有效的安全生产许可证； 2.拟派本工程项目经理具有建筑工程专业二级及以上注册建造师资格，具有合格有效的安全生产考核合格证（B证）,本单位注册且无在建工程（提供承诺书）。</w:t>
      </w:r>
    </w:p>
    <w:p>
      <w:pPr>
        <w:pStyle w:val="null3"/>
      </w:pPr>
      <w:r>
        <w:rPr>
          <w:rFonts w:ascii="仿宋_GB2312" w:hAnsi="仿宋_GB2312" w:cs="仿宋_GB2312" w:eastAsia="仿宋_GB2312"/>
        </w:rPr>
        <w:t>5、省外企业：外省企业入陕需在陕西省住房和城乡建设厅“外省入陕建筑业企业登记信息查询名单”中查询到企业基本信息)。</w:t>
      </w:r>
    </w:p>
    <w:p>
      <w:pPr>
        <w:pStyle w:val="null3"/>
      </w:pPr>
      <w:r>
        <w:rPr>
          <w:rFonts w:ascii="仿宋_GB2312" w:hAnsi="仿宋_GB2312" w:cs="仿宋_GB2312" w:eastAsia="仿宋_GB2312"/>
        </w:rPr>
        <w:t>6、联合体：不接受联合体投标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西安市长安区航天基地航拓路与神舟六路十字西北角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西安航天城第一小学经办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029-89696001—777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15609142350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机构参照国家计委关于《国家发展改革委办公厅关于招标代理服务收费有关问题的通知》（发改价格[2003]857号）、《国家发展改革委关于进一步放开建设项目专业服务价格的通知》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西安航天城第一小学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联系电话：029-85393806 15609142350</w:t>
      </w:r>
    </w:p>
    <w:p>
      <w:pPr>
        <w:pStyle w:val="null3"/>
      </w:pPr>
      <w:r>
        <w:rPr>
          <w:rFonts w:ascii="仿宋_GB2312" w:hAnsi="仿宋_GB2312" w:cs="仿宋_GB2312" w:eastAsia="仿宋_GB2312"/>
        </w:rPr>
        <w:t>地址：西安市曲江新区雁翔路3269号旺座·曲江E座2901</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学校环形跑道及篮球场地维修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标的名称：学校环形跑道及篮球场地维修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8"/>
                <w:b/>
              </w:rPr>
              <w:t>编制说明</w:t>
            </w:r>
          </w:p>
          <w:p>
            <w:pPr>
              <w:pStyle w:val="null3"/>
              <w:numPr>
                <w:ilvl w:val="0"/>
                <w:numId w:val="1"/>
              </w:numPr>
              <w:ind w:left="105"/>
              <w:jc w:val="both"/>
            </w:pPr>
            <w:r>
              <w:rPr>
                <w:rFonts w:ascii="仿宋_GB2312" w:hAnsi="仿宋_GB2312" w:cs="仿宋_GB2312" w:eastAsia="仿宋_GB2312"/>
                <w:sz w:val="21"/>
              </w:rPr>
              <w:t>一、</w:t>
            </w:r>
            <w:r>
              <w:rPr>
                <w:rFonts w:ascii="仿宋_GB2312" w:hAnsi="仿宋_GB2312" w:cs="仿宋_GB2312" w:eastAsia="仿宋_GB2312"/>
                <w:sz w:val="21"/>
                <w:b/>
              </w:rPr>
              <w:t>工程概况</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18"/>
              </w:rPr>
              <w:t>本工程为西安航天城第一小学</w:t>
            </w:r>
            <w:r>
              <w:rPr>
                <w:rFonts w:ascii="仿宋_GB2312" w:hAnsi="仿宋_GB2312" w:cs="仿宋_GB2312" w:eastAsia="仿宋_GB2312"/>
                <w:sz w:val="18"/>
              </w:rPr>
              <w:t>环形跑道及篮球场维修项目</w:t>
            </w:r>
            <w:r>
              <w:rPr>
                <w:rFonts w:ascii="仿宋_GB2312" w:hAnsi="仿宋_GB2312" w:cs="仿宋_GB2312" w:eastAsia="仿宋_GB2312"/>
                <w:sz w:val="18"/>
              </w:rPr>
              <w:t>。</w:t>
            </w:r>
            <w:r>
              <w:rPr>
                <w:rFonts w:ascii="仿宋_GB2312" w:hAnsi="仿宋_GB2312" w:cs="仿宋_GB2312" w:eastAsia="仿宋_GB2312"/>
                <w:sz w:val="18"/>
              </w:rPr>
              <w:t>位于</w:t>
            </w:r>
            <w:r>
              <w:rPr>
                <w:rFonts w:ascii="仿宋_GB2312" w:hAnsi="仿宋_GB2312" w:cs="仿宋_GB2312" w:eastAsia="仿宋_GB2312"/>
                <w:sz w:val="18"/>
              </w:rPr>
              <w:t>西安航天城第一小学操场</w:t>
            </w:r>
            <w:r>
              <w:rPr>
                <w:rFonts w:ascii="仿宋_GB2312" w:hAnsi="仿宋_GB2312" w:cs="仿宋_GB2312" w:eastAsia="仿宋_GB2312"/>
                <w:sz w:val="18"/>
              </w:rPr>
              <w:t>内</w:t>
            </w:r>
            <w:r>
              <w:rPr>
                <w:rFonts w:ascii="仿宋_GB2312" w:hAnsi="仿宋_GB2312" w:cs="仿宋_GB2312" w:eastAsia="仿宋_GB2312"/>
                <w:sz w:val="18"/>
              </w:rPr>
              <w:t>。</w:t>
            </w:r>
            <w:r>
              <w:rPr>
                <w:rFonts w:ascii="仿宋_GB2312" w:hAnsi="仿宋_GB2312" w:cs="仿宋_GB2312" w:eastAsia="仿宋_GB2312"/>
                <w:sz w:val="18"/>
              </w:rPr>
              <w:t>主要内容为</w:t>
            </w:r>
            <w:r>
              <w:rPr>
                <w:rFonts w:ascii="仿宋_GB2312" w:hAnsi="仿宋_GB2312" w:cs="仿宋_GB2312" w:eastAsia="仿宋_GB2312"/>
                <w:sz w:val="18"/>
              </w:rPr>
              <w:t>塑胶跑道及硅</w:t>
            </w:r>
            <w:r>
              <w:rPr>
                <w:rFonts w:ascii="仿宋_GB2312" w:hAnsi="仿宋_GB2312" w:cs="仿宋_GB2312" w:eastAsia="仿宋_GB2312"/>
                <w:sz w:val="18"/>
              </w:rPr>
              <w:t>PU</w:t>
            </w:r>
            <w:r>
              <w:rPr>
                <w:rFonts w:ascii="仿宋_GB2312" w:hAnsi="仿宋_GB2312" w:cs="仿宋_GB2312" w:eastAsia="仿宋_GB2312"/>
                <w:sz w:val="18"/>
              </w:rPr>
              <w:t>场地维修</w:t>
            </w:r>
            <w:r>
              <w:rPr>
                <w:rFonts w:ascii="仿宋_GB2312" w:hAnsi="仿宋_GB2312" w:cs="仿宋_GB2312" w:eastAsia="仿宋_GB2312"/>
                <w:sz w:val="18"/>
              </w:rPr>
              <w:t>改造</w:t>
            </w:r>
            <w:r>
              <w:rPr>
                <w:rFonts w:ascii="仿宋_GB2312" w:hAnsi="仿宋_GB2312" w:cs="仿宋_GB2312" w:eastAsia="仿宋_GB2312"/>
                <w:sz w:val="18"/>
              </w:rPr>
              <w:t>。</w:t>
            </w:r>
          </w:p>
          <w:p>
            <w:pPr>
              <w:pStyle w:val="null3"/>
              <w:jc w:val="both"/>
            </w:pPr>
            <w:r>
              <w:rPr>
                <w:rFonts w:ascii="仿宋_GB2312" w:hAnsi="仿宋_GB2312" w:cs="仿宋_GB2312" w:eastAsia="仿宋_GB2312"/>
                <w:sz w:val="21"/>
                <w:b/>
              </w:rPr>
              <w:t>二、计价依据：</w:t>
            </w:r>
          </w:p>
          <w:p>
            <w:pPr>
              <w:pStyle w:val="null3"/>
              <w:ind w:firstLine="560"/>
              <w:jc w:val="both"/>
            </w:pPr>
            <w:r>
              <w:rPr>
                <w:rFonts w:ascii="仿宋_GB2312" w:hAnsi="仿宋_GB2312" w:cs="仿宋_GB2312" w:eastAsia="仿宋_GB2312"/>
                <w:sz w:val="18"/>
              </w:rPr>
              <w:t>1、设计图纸。</w:t>
            </w:r>
          </w:p>
          <w:p>
            <w:pPr>
              <w:pStyle w:val="null3"/>
              <w:ind w:firstLine="560"/>
              <w:jc w:val="both"/>
            </w:pPr>
            <w:r>
              <w:rPr>
                <w:rFonts w:ascii="仿宋_GB2312" w:hAnsi="仿宋_GB2312" w:cs="仿宋_GB2312" w:eastAsia="仿宋_GB2312"/>
                <w:sz w:val="18"/>
              </w:rPr>
              <w:t>2、本工程建设涉及到的相关标准、规范、图集等资料。</w:t>
            </w:r>
          </w:p>
          <w:p>
            <w:pPr>
              <w:pStyle w:val="null3"/>
              <w:ind w:firstLine="560"/>
              <w:jc w:val="both"/>
            </w:pPr>
            <w:r>
              <w:rPr>
                <w:rFonts w:ascii="仿宋_GB2312" w:hAnsi="仿宋_GB2312" w:cs="仿宋_GB2312" w:eastAsia="仿宋_GB2312"/>
                <w:sz w:val="18"/>
              </w:rPr>
              <w:t>3、《陕西省建设工程工程量清单计价规则2009》。</w:t>
            </w:r>
          </w:p>
          <w:p>
            <w:pPr>
              <w:pStyle w:val="null3"/>
              <w:jc w:val="both"/>
            </w:pPr>
            <w:r>
              <w:rPr>
                <w:rFonts w:ascii="仿宋_GB2312" w:hAnsi="仿宋_GB2312" w:cs="仿宋_GB2312" w:eastAsia="仿宋_GB2312"/>
                <w:sz w:val="18"/>
              </w:rPr>
              <w:t xml:space="preserve">   4</w:t>
            </w:r>
            <w:r>
              <w:rPr>
                <w:rFonts w:ascii="仿宋_GB2312" w:hAnsi="仿宋_GB2312" w:cs="仿宋_GB2312" w:eastAsia="仿宋_GB2312"/>
                <w:sz w:val="18"/>
              </w:rPr>
              <w:t>、《陕西省建筑、装饰</w:t>
            </w:r>
            <w:r>
              <w:rPr>
                <w:rFonts w:ascii="仿宋_GB2312" w:hAnsi="仿宋_GB2312" w:cs="仿宋_GB2312" w:eastAsia="仿宋_GB2312"/>
                <w:sz w:val="18"/>
              </w:rPr>
              <w:t>、</w:t>
            </w:r>
            <w:r>
              <w:rPr>
                <w:rFonts w:ascii="仿宋_GB2312" w:hAnsi="仿宋_GB2312" w:cs="仿宋_GB2312" w:eastAsia="仿宋_GB2312"/>
                <w:sz w:val="18"/>
              </w:rPr>
              <w:t>安装、市政、园林绿化</w:t>
            </w:r>
            <w:r>
              <w:rPr>
                <w:rFonts w:ascii="仿宋_GB2312" w:hAnsi="仿宋_GB2312" w:cs="仿宋_GB2312" w:eastAsia="仿宋_GB2312"/>
                <w:sz w:val="18"/>
              </w:rPr>
              <w:t>工程价目表》（2009）</w:t>
            </w:r>
            <w:r>
              <w:rPr>
                <w:rFonts w:ascii="仿宋_GB2312" w:hAnsi="仿宋_GB2312" w:cs="仿宋_GB2312" w:eastAsia="仿宋_GB2312"/>
                <w:sz w:val="18"/>
              </w:rPr>
              <w:t>、</w:t>
            </w:r>
            <w:r>
              <w:rPr>
                <w:rFonts w:ascii="仿宋_GB2312" w:hAnsi="仿宋_GB2312" w:cs="仿宋_GB2312" w:eastAsia="仿宋_GB2312"/>
                <w:sz w:val="18"/>
              </w:rPr>
              <w:t>《陕西省建设工程施工机械台班价目表》（2009）、《陕西省建筑、装饰</w:t>
            </w:r>
            <w:r>
              <w:rPr>
                <w:rFonts w:ascii="仿宋_GB2312" w:hAnsi="仿宋_GB2312" w:cs="仿宋_GB2312" w:eastAsia="仿宋_GB2312"/>
                <w:sz w:val="18"/>
              </w:rPr>
              <w:t>、</w:t>
            </w:r>
            <w:r>
              <w:rPr>
                <w:rFonts w:ascii="仿宋_GB2312" w:hAnsi="仿宋_GB2312" w:cs="仿宋_GB2312" w:eastAsia="仿宋_GB2312"/>
                <w:sz w:val="18"/>
              </w:rPr>
              <w:t>安装、市政</w:t>
            </w:r>
            <w:r>
              <w:rPr>
                <w:rFonts w:ascii="仿宋_GB2312" w:hAnsi="仿宋_GB2312" w:cs="仿宋_GB2312" w:eastAsia="仿宋_GB2312"/>
                <w:sz w:val="18"/>
              </w:rPr>
              <w:t>工程消耗量定额勘误及补充定额》（2009）、《陕西省建设工程工程量清单计价费率》（2009）及其他相关文件。</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、主要</w:t>
            </w:r>
            <w:r>
              <w:rPr>
                <w:rFonts w:ascii="仿宋_GB2312" w:hAnsi="仿宋_GB2312" w:cs="仿宋_GB2312" w:eastAsia="仿宋_GB2312"/>
                <w:sz w:val="18"/>
              </w:rPr>
              <w:t>材料价格按《</w:t>
            </w:r>
            <w:r>
              <w:rPr>
                <w:rFonts w:ascii="仿宋_GB2312" w:hAnsi="仿宋_GB2312" w:cs="仿宋_GB2312" w:eastAsia="仿宋_GB2312"/>
                <w:sz w:val="18"/>
              </w:rPr>
              <w:t>陕西工程造价信息</w:t>
            </w:r>
            <w:r>
              <w:rPr>
                <w:rFonts w:ascii="仿宋_GB2312" w:hAnsi="仿宋_GB2312" w:cs="仿宋_GB2312" w:eastAsia="仿宋_GB2312"/>
                <w:sz w:val="18"/>
              </w:rPr>
              <w:t>》20</w:t>
            </w:r>
            <w:r>
              <w:rPr>
                <w:rFonts w:ascii="仿宋_GB2312" w:hAnsi="仿宋_GB2312" w:cs="仿宋_GB2312" w:eastAsia="仿宋_GB2312"/>
                <w:sz w:val="18"/>
              </w:rPr>
              <w:t>25</w:t>
            </w:r>
            <w:r>
              <w:rPr>
                <w:rFonts w:ascii="仿宋_GB2312" w:hAnsi="仿宋_GB2312" w:cs="仿宋_GB2312" w:eastAsia="仿宋_GB2312"/>
                <w:sz w:val="18"/>
              </w:rPr>
              <w:t>年</w:t>
            </w:r>
            <w:r>
              <w:rPr>
                <w:rFonts w:ascii="仿宋_GB2312" w:hAnsi="仿宋_GB2312" w:cs="仿宋_GB2312" w:eastAsia="仿宋_GB2312"/>
                <w:sz w:val="18"/>
              </w:rPr>
              <w:t>5月材料信息价</w:t>
            </w:r>
            <w:r>
              <w:rPr>
                <w:rFonts w:ascii="仿宋_GB2312" w:hAnsi="仿宋_GB2312" w:cs="仿宋_GB2312" w:eastAsia="仿宋_GB2312"/>
                <w:sz w:val="18"/>
              </w:rPr>
              <w:t>计入，信息价没有的主要材料价格</w:t>
            </w:r>
            <w:r>
              <w:rPr>
                <w:rFonts w:ascii="仿宋_GB2312" w:hAnsi="仿宋_GB2312" w:cs="仿宋_GB2312" w:eastAsia="仿宋_GB2312"/>
                <w:sz w:val="18"/>
              </w:rPr>
              <w:t>参考</w:t>
            </w:r>
            <w:r>
              <w:rPr>
                <w:rFonts w:ascii="仿宋_GB2312" w:hAnsi="仿宋_GB2312" w:cs="仿宋_GB2312" w:eastAsia="仿宋_GB2312"/>
                <w:sz w:val="18"/>
              </w:rPr>
              <w:t>市场</w:t>
            </w:r>
            <w:r>
              <w:rPr>
                <w:rFonts w:ascii="仿宋_GB2312" w:hAnsi="仿宋_GB2312" w:cs="仿宋_GB2312" w:eastAsia="仿宋_GB2312"/>
                <w:sz w:val="18"/>
              </w:rPr>
              <w:t>价</w:t>
            </w:r>
            <w:r>
              <w:rPr>
                <w:rFonts w:ascii="仿宋_GB2312" w:hAnsi="仿宋_GB2312" w:cs="仿宋_GB2312" w:eastAsia="仿宋_GB2312"/>
                <w:sz w:val="18"/>
              </w:rPr>
              <w:t>计入。</w:t>
            </w:r>
          </w:p>
          <w:p>
            <w:pPr>
              <w:pStyle w:val="null3"/>
              <w:ind w:firstLine="560"/>
              <w:jc w:val="both"/>
            </w:pPr>
            <w:r>
              <w:rPr>
                <w:rFonts w:ascii="仿宋_GB2312" w:hAnsi="仿宋_GB2312" w:cs="仿宋_GB2312" w:eastAsia="仿宋_GB2312"/>
                <w:sz w:val="18"/>
              </w:rPr>
              <w:t>6、税金依据陕建发[2019]45号文件，规费依据陕建发[2020]1097号文件计入，人工费调整执行陕建发(2021)1097号文</w:t>
            </w:r>
            <w:r>
              <w:rPr>
                <w:rFonts w:ascii="仿宋_GB2312" w:hAnsi="仿宋_GB2312" w:cs="仿宋_GB2312" w:eastAsia="仿宋_GB2312"/>
                <w:sz w:val="18"/>
              </w:rPr>
              <w:t>件，养老保险依据陕建发[2021]61号文未扣除。</w:t>
            </w:r>
          </w:p>
          <w:p>
            <w:pPr>
              <w:pStyle w:val="null3"/>
            </w:pPr>
            <w:r>
              <w:rPr>
                <w:rFonts w:ascii="仿宋_GB2312" w:hAnsi="仿宋_GB2312" w:cs="仿宋_GB2312" w:eastAsia="仿宋_GB2312"/>
                <w:sz w:val="18"/>
              </w:rPr>
              <w:t xml:space="preserve">    7、采用广联达云计价平台 GCCP6.0   版本:(6.4100.23.122)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符合国家、省、市、行业及地方标准等相关验收规范要求。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本项目通过电子化交易系统协商，供应商需在电子化交易系统上传响应的文件。中标供应商领取中标（成交）通知书时，向采购代理机构提供一正两副纸质投标文件及电子版1份（签字盖章扫描PDF和word文档格式，U盘存储）。 3.供应商应自协商文件递交截止时间起至开标结束，保持在线状态。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1、具有独立承担民事责任能力的合法注册的法人或其他组织或自然人提供有效的营业执照或事业单位法人证书或其他，自然人提供其身份证明; 2、税收缴纳证明:递交响应文件截止时间前一年内至少一个月的纳税证明或税务机关开具的完税证明(任意税种)，纳税证明或完税证明上应有代收机构或税务机关的公章或业务专用章,依法免税的单位应提供相关证明材料; 3、社会保障资金缴纳证明:递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以上二种形式的资料提供任何一种即可，代缴代办社会保障资金不予认可); 4、具有履行本合同所必需的设备和,专业技术能力的说明及承诺(提供承诺书); 5、出具参加本次政府采购活动前三年内在经营活动中没有重大违法记录的书面声明;注:事业单位参与磋商可不提供财务状况报告、社会保障资金缴纳证明及税收缴纳证明。 供应商需在项目电子化交易系统中按要求填写《磋商函》完成承诺、上传相应证明文件并进行电子签章。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 2024年度经审计的完整财务审计报告(审计报告应当包含报告正文、资产负债表、利润表、现金流量表、附注和会计师事务所营业执照、报告正文应当有会计师事务所公章、2个注册会计师的证书、签字和盖章。成立时间至提交响应文件截止时间不足一年的，可提供成立后任意时段的资产负债表)，或2025年1月1日至今银行出具的资信证明(附基本存款账户信息)，或财政部门认可的政府采购专业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供应商需在项目电子化交易系统中按要求填写《响应函》完成承诺并进行电子签章。单位负责人为同一人或者存在直接控股、管理关系的不同供应商,不得参加同一合同项下的政府采购活动(提供企业关联关系说明)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供应商须提供符合《中华人民共和国政府采购法》第二十二条的规定的资格承诺函。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法人身份证明及授权委托书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未被列入“信用中国”网站记录的“失信被执行人”或“重大税收违法案件当事人”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供应商书面声明函.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1.供应商须具备建筑工程施工总承包三级及以上资质，具有合格有效的安全生产许可证； 2.拟派本工程项目经理具有建筑工程专业二级及以上注册建造师资格，具有合格有效的安全生产考核合格证（B证）,本单位注册且无在建工程（提供承诺书）。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w:t>
            </w:r>
          </w:p>
        </w:tc>
        <w:tc>
          <w:tcPr>
            <w:tcW w:type="dxa" w:w="3322"/>
          </w:tcPr>
          <w:p>
            <w:pPr>
              <w:pStyle w:val="null3"/>
            </w:pPr>
            <w:r>
              <w:rPr>
                <w:rFonts w:ascii="仿宋_GB2312" w:hAnsi="仿宋_GB2312" w:cs="仿宋_GB2312" w:eastAsia="仿宋_GB2312"/>
              </w:rPr>
              <w:t>外省企业入陕需在陕西省住房和城乡建设厅“外省入陕建筑业企业登记信息查询名单”中查询到企业基本信息)。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响应文件封面 报价函 法人身份证明及授权委托书 供应商应提交的相关资格证明材料 响应函 第一次报价函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(1)磋商报价符合唯一性要求:(2)磋商报价表填写符合要求:(3)计量单位、报价货币均符合磋商文件要求:(4)未超出采购预算或磋商文件规定的最高限价。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第一次报价函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整个项目施工的具体方案。 赋分标准：（1）完整性（2）针对性（3）可操作性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施工质量的技术组织措施</w:t>
            </w:r>
          </w:p>
        </w:tc>
        <w:tc>
          <w:tcPr>
            <w:tcW w:type="dxa" w:w="2492"/>
          </w:tcPr>
          <w:p>
            <w:pPr>
              <w:pStyle w:val="null3"/>
            </w:pPr>
            <w:r>
              <w:rPr>
                <w:rFonts w:ascii="仿宋_GB2312" w:hAnsi="仿宋_GB2312" w:cs="仿宋_GB2312" w:eastAsia="仿宋_GB2312"/>
              </w:rPr>
              <w:t>确保工程质量的技术组织措施 赋分标准：（1）完整性（2）针对性（3）可操作性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施工总进度计划及保证措施</w:t>
            </w:r>
          </w:p>
        </w:tc>
        <w:tc>
          <w:tcPr>
            <w:tcW w:type="dxa" w:w="2492"/>
          </w:tcPr>
          <w:p>
            <w:pPr>
              <w:pStyle w:val="null3"/>
            </w:pPr>
            <w:r>
              <w:rPr>
                <w:rFonts w:ascii="仿宋_GB2312" w:hAnsi="仿宋_GB2312" w:cs="仿宋_GB2312" w:eastAsia="仿宋_GB2312"/>
              </w:rPr>
              <w:t>施工总进度计划及保证措施 赋分标准：（1）完整性（2）针对性（3）可操作性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工作重点与难点分析及对应措施</w:t>
            </w:r>
          </w:p>
        </w:tc>
        <w:tc>
          <w:tcPr>
            <w:tcW w:type="dxa" w:w="2492"/>
          </w:tcPr>
          <w:p>
            <w:pPr>
              <w:pStyle w:val="null3"/>
            </w:pPr>
            <w:r>
              <w:rPr>
                <w:rFonts w:ascii="仿宋_GB2312" w:hAnsi="仿宋_GB2312" w:cs="仿宋_GB2312" w:eastAsia="仿宋_GB2312"/>
              </w:rPr>
              <w:t>工作重点与难点分析及对应措施 赋分标准：（1）完整性（2）针对性（3）可操作性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文明施工及环境保护</w:t>
            </w:r>
          </w:p>
        </w:tc>
        <w:tc>
          <w:tcPr>
            <w:tcW w:type="dxa" w:w="2492"/>
          </w:tcPr>
          <w:p>
            <w:pPr>
              <w:pStyle w:val="null3"/>
            </w:pPr>
            <w:r>
              <w:rPr>
                <w:rFonts w:ascii="仿宋_GB2312" w:hAnsi="仿宋_GB2312" w:cs="仿宋_GB2312" w:eastAsia="仿宋_GB2312"/>
              </w:rPr>
              <w:t>确保文明施工的技术组织措施及环境保护（噪音、扬尘）措施 赋分标准：（1）合理性（2）针对性（3）可操作性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协调工作及应急措施</w:t>
            </w:r>
          </w:p>
        </w:tc>
        <w:tc>
          <w:tcPr>
            <w:tcW w:type="dxa" w:w="2492"/>
          </w:tcPr>
          <w:p>
            <w:pPr>
              <w:pStyle w:val="null3"/>
            </w:pPr>
            <w:r>
              <w:rPr>
                <w:rFonts w:ascii="仿宋_GB2312" w:hAnsi="仿宋_GB2312" w:cs="仿宋_GB2312" w:eastAsia="仿宋_GB2312"/>
              </w:rPr>
              <w:t>确保项目正常实施的协调工作及在施工过程中发生紧急情况时的应急措施 赋分标准：（1）合理性（2）针对性（3）可操作性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确保安全的生产技术组织措施</w:t>
            </w:r>
          </w:p>
        </w:tc>
        <w:tc>
          <w:tcPr>
            <w:tcW w:type="dxa" w:w="2492"/>
          </w:tcPr>
          <w:p>
            <w:pPr>
              <w:pStyle w:val="null3"/>
            </w:pPr>
            <w:r>
              <w:rPr>
                <w:rFonts w:ascii="仿宋_GB2312" w:hAnsi="仿宋_GB2312" w:cs="仿宋_GB2312" w:eastAsia="仿宋_GB2312"/>
              </w:rPr>
              <w:t>确保安全的生产技术组织措施 赋分标准：（1）合理性（2）针对性（3）可操作性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资料留存完备措施</w:t>
            </w:r>
          </w:p>
        </w:tc>
        <w:tc>
          <w:tcPr>
            <w:tcW w:type="dxa" w:w="2492"/>
          </w:tcPr>
          <w:p>
            <w:pPr>
              <w:pStyle w:val="null3"/>
            </w:pPr>
            <w:r>
              <w:rPr>
                <w:rFonts w:ascii="仿宋_GB2312" w:hAnsi="仿宋_GB2312" w:cs="仿宋_GB2312" w:eastAsia="仿宋_GB2312"/>
              </w:rPr>
              <w:t>针对本项目的资料留存完备措施 赋分标准：（1）合理性（2）针对性（3）可操作性 方案各部分内容全面、阐述条理清晰详尽、符合本项目采购需求且描述详细得6分，若赋分点响应程度有欠缺则该点扣1-5分，未响应不得分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项目组织管理及项目人员组成</w:t>
            </w:r>
          </w:p>
        </w:tc>
        <w:tc>
          <w:tcPr>
            <w:tcW w:type="dxa" w:w="2492"/>
          </w:tcPr>
          <w:p>
            <w:pPr>
              <w:pStyle w:val="null3"/>
            </w:pPr>
            <w:r>
              <w:rPr>
                <w:rFonts w:ascii="仿宋_GB2312" w:hAnsi="仿宋_GB2312" w:cs="仿宋_GB2312" w:eastAsia="仿宋_GB2312"/>
              </w:rPr>
              <w:t>一、评审内容 针对本项目提供具体可行的人员配置方案，包括但不限于： ①团队机构设置、组成人员名单（包括但不限于项目经理、技术负责人、施工员、安全员、质量员、资料员）、人员岗位职责；②项目经理及团队人员中具有与本项目相关的专业人员证书（包括但不限于学历证、职称证、岗位证书等），提供复印件。 二、赋分标准： 1、完善性 2、可实施性 3、针对性。 上述2项评审内容全部满足评审标准得12分，每有一个评审内容缺项扣6分，每有一项评审内容存在缺陷，扣（1-5]分； 注:项目负责人及团队人员提供有效的相关证书复印件并加盖公章。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2022年1月至今承担过的类似项目业绩证明文件（以合同签订时间为准），提供合同复印件加盖公章，每提供一份得5分，满分10分。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详见附件：法人身份证明及授权委托书</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详见附件：第一次报价函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详见附件：供应商书面声明函.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