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9E705B">
      <w:pPr>
        <w:pStyle w:val="4"/>
        <w:bidi w:val="0"/>
        <w:rPr>
          <w:rFonts w:hint="eastAsia"/>
        </w:rPr>
      </w:pPr>
      <w:r>
        <w:rPr>
          <w:rFonts w:hint="eastAsia"/>
        </w:rPr>
        <w:t>商务主要条款响应偏差表</w:t>
      </w:r>
    </w:p>
    <w:p w14:paraId="1A71C7B5"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lang w:val="zh-CN"/>
        </w:rPr>
        <w:t xml:space="preserve">                            </w:t>
      </w:r>
      <w:r>
        <w:rPr>
          <w:rFonts w:hint="eastAsia" w:ascii="仿宋" w:hAnsi="仿宋" w:eastAsia="仿宋" w:cs="仿宋"/>
          <w:sz w:val="24"/>
        </w:rPr>
        <w:t xml:space="preserve">              </w:t>
      </w:r>
    </w:p>
    <w:tbl>
      <w:tblPr>
        <w:tblStyle w:val="16"/>
        <w:tblW w:w="924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113"/>
        <w:gridCol w:w="1125"/>
        <w:gridCol w:w="1538"/>
      </w:tblGrid>
      <w:tr w14:paraId="13AA18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752" w:type="dxa"/>
            <w:vAlign w:val="center"/>
          </w:tcPr>
          <w:p w14:paraId="660804B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380" w:type="dxa"/>
            <w:vAlign w:val="center"/>
          </w:tcPr>
          <w:p w14:paraId="35F48CB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文件</w:t>
            </w:r>
          </w:p>
          <w:p w14:paraId="6178956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条目号</w:t>
            </w:r>
          </w:p>
        </w:tc>
        <w:tc>
          <w:tcPr>
            <w:tcW w:w="2341" w:type="dxa"/>
            <w:vAlign w:val="center"/>
          </w:tcPr>
          <w:p w14:paraId="0797168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磋商文件</w:t>
            </w:r>
          </w:p>
          <w:p w14:paraId="51B3B2C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商务主要条款</w:t>
            </w:r>
          </w:p>
          <w:p w14:paraId="3CCB5FA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要求</w:t>
            </w:r>
          </w:p>
        </w:tc>
        <w:tc>
          <w:tcPr>
            <w:tcW w:w="2113" w:type="dxa"/>
            <w:vAlign w:val="center"/>
          </w:tcPr>
          <w:p w14:paraId="126DD3B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磋商响应文件</w:t>
            </w:r>
          </w:p>
          <w:p w14:paraId="7FF1E97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商务主要条款</w:t>
            </w:r>
          </w:p>
          <w:p w14:paraId="7E0399E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响应</w:t>
            </w:r>
          </w:p>
        </w:tc>
        <w:tc>
          <w:tcPr>
            <w:tcW w:w="1125" w:type="dxa"/>
            <w:vAlign w:val="center"/>
          </w:tcPr>
          <w:p w14:paraId="6CA1632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偏离</w:t>
            </w:r>
          </w:p>
        </w:tc>
        <w:tc>
          <w:tcPr>
            <w:tcW w:w="1538" w:type="dxa"/>
            <w:vAlign w:val="center"/>
          </w:tcPr>
          <w:p w14:paraId="0313B4A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偏离</w:t>
            </w:r>
          </w:p>
          <w:p w14:paraId="5B788C1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及其影响</w:t>
            </w:r>
          </w:p>
        </w:tc>
      </w:tr>
      <w:tr w14:paraId="25ACC4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23A6FB8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80" w:type="dxa"/>
          </w:tcPr>
          <w:p w14:paraId="2AC2F0D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341" w:type="dxa"/>
          </w:tcPr>
          <w:p w14:paraId="1B6707E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113" w:type="dxa"/>
          </w:tcPr>
          <w:p w14:paraId="5C36EC4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125" w:type="dxa"/>
          </w:tcPr>
          <w:p w14:paraId="2564B43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538" w:type="dxa"/>
          </w:tcPr>
          <w:p w14:paraId="23CE837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0C1C2F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7723ADC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80" w:type="dxa"/>
          </w:tcPr>
          <w:p w14:paraId="0A173A9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341" w:type="dxa"/>
          </w:tcPr>
          <w:p w14:paraId="242D94C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113" w:type="dxa"/>
          </w:tcPr>
          <w:p w14:paraId="280C268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125" w:type="dxa"/>
          </w:tcPr>
          <w:p w14:paraId="675396C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538" w:type="dxa"/>
          </w:tcPr>
          <w:p w14:paraId="565066F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1DC067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2A87579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80" w:type="dxa"/>
          </w:tcPr>
          <w:p w14:paraId="15B0FBB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341" w:type="dxa"/>
          </w:tcPr>
          <w:p w14:paraId="1E1BF51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113" w:type="dxa"/>
          </w:tcPr>
          <w:p w14:paraId="4FD8B4A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125" w:type="dxa"/>
          </w:tcPr>
          <w:p w14:paraId="79AD1E4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538" w:type="dxa"/>
          </w:tcPr>
          <w:p w14:paraId="549841C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45E3BB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318F6CD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80" w:type="dxa"/>
          </w:tcPr>
          <w:p w14:paraId="4BA8BDD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341" w:type="dxa"/>
          </w:tcPr>
          <w:p w14:paraId="1AD6970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113" w:type="dxa"/>
          </w:tcPr>
          <w:p w14:paraId="0318E05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125" w:type="dxa"/>
          </w:tcPr>
          <w:p w14:paraId="6A7C238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538" w:type="dxa"/>
          </w:tcPr>
          <w:p w14:paraId="76CFE67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1A4B31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3CAB381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80" w:type="dxa"/>
          </w:tcPr>
          <w:p w14:paraId="03B423B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341" w:type="dxa"/>
          </w:tcPr>
          <w:p w14:paraId="782D0C3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113" w:type="dxa"/>
          </w:tcPr>
          <w:p w14:paraId="1A6160F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125" w:type="dxa"/>
          </w:tcPr>
          <w:p w14:paraId="415F402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538" w:type="dxa"/>
          </w:tcPr>
          <w:p w14:paraId="5FC4B27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</w:tbl>
    <w:p w14:paraId="7D9BA779">
      <w:pPr>
        <w:tabs>
          <w:tab w:val="left" w:pos="1260"/>
        </w:tabs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</w:t>
      </w:r>
    </w:p>
    <w:p w14:paraId="4341EC90">
      <w:pPr>
        <w:tabs>
          <w:tab w:val="left" w:pos="126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1、本表只填写磋商响应文件中与磋商文件有偏离（包括负偏离和正偏离）的内容，在磋商响应文件中须一一列出，无偏离可直接提供空白表。</w:t>
      </w:r>
    </w:p>
    <w:p w14:paraId="27F19B8F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2、供应商必须据实填写，不得虚假响应，否则将取消其磋商或成交资格，并按有关规定进处罚。</w:t>
      </w:r>
    </w:p>
    <w:p w14:paraId="584403DF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</w:rPr>
      </w:pPr>
    </w:p>
    <w:p w14:paraId="0BBF8EDE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</w:t>
      </w:r>
    </w:p>
    <w:p w14:paraId="4B33D3B7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</w:p>
    <w:p w14:paraId="3543CF78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</w:t>
      </w:r>
    </w:p>
    <w:p w14:paraId="57EE3BD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5B6601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2025-06-06T03:27:00Z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