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40E5C4">
      <w:pPr>
        <w:pStyle w:val="4"/>
        <w:bidi w:val="0"/>
        <w:rPr>
          <w:rFonts w:hint="eastAsia"/>
        </w:rPr>
      </w:pPr>
      <w:r>
        <w:rPr>
          <w:rFonts w:hint="eastAsia"/>
          <w:lang w:eastAsia="zh-CN"/>
        </w:rPr>
        <w:t>总体</w:t>
      </w:r>
      <w:r>
        <w:rPr>
          <w:rFonts w:hint="eastAsia"/>
        </w:rPr>
        <w:t>服务方案</w:t>
      </w:r>
    </w:p>
    <w:p w14:paraId="1583F51C">
      <w:pPr>
        <w:spacing w:line="360" w:lineRule="auto"/>
        <w:jc w:val="center"/>
      </w:pPr>
      <w:r>
        <w:rPr>
          <w:rFonts w:hint="eastAsia" w:ascii="仿宋" w:hAnsi="仿宋" w:eastAsia="仿宋" w:cs="仿宋"/>
          <w:sz w:val="24"/>
        </w:rPr>
        <w:t>供应商根据打分项自行编制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C0172A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2025-06-06T03:27:10Z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