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版本号：SXWXZBDL2025-ZC-GK100320250605001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西安航天基地公共停车位经营权转让项目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SXWXZBDL2025-ZC-GK1003</w:t>
      </w:r>
      <w:r>
        <w:br/>
      </w:r>
      <w:r>
        <w:br/>
      </w:r>
      <w:r>
        <w:br/>
      </w:r>
    </w:p>
    <w:p>
      <w:pPr>
        <w:pStyle w:val="null3"/>
        <w:jc w:val="center"/>
        <w:outlineLvl w:val="2"/>
      </w:pPr>
      <w:r>
        <w:rPr>
          <w:rFonts w:ascii="仿宋_GB2312" w:hAnsi="仿宋_GB2312" w:cs="仿宋_GB2312" w:eastAsia="仿宋_GB2312"/>
          <w:sz w:val="28"/>
          <w:b/>
        </w:rPr>
        <w:t>西安国家民用航天产业基地管理委员会</w:t>
      </w:r>
    </w:p>
    <w:p>
      <w:pPr>
        <w:pStyle w:val="null3"/>
        <w:jc w:val="center"/>
        <w:outlineLvl w:val="2"/>
      </w:pPr>
      <w:r>
        <w:rPr>
          <w:rFonts w:ascii="仿宋_GB2312" w:hAnsi="仿宋_GB2312" w:cs="仿宋_GB2312" w:eastAsia="仿宋_GB2312"/>
          <w:sz w:val="28"/>
          <w:b/>
        </w:rPr>
        <w:t>陕西万兴招标代理有限公司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陕西万兴招标代理有限公司</w:t>
      </w:r>
      <w:r>
        <w:rPr>
          <w:rFonts w:ascii="仿宋_GB2312" w:hAnsi="仿宋_GB2312" w:cs="仿宋_GB2312" w:eastAsia="仿宋_GB2312"/>
        </w:rPr>
        <w:t>（以下简称“代理机构”）受</w:t>
      </w:r>
      <w:r>
        <w:rPr>
          <w:rFonts w:ascii="仿宋_GB2312" w:hAnsi="仿宋_GB2312" w:cs="仿宋_GB2312" w:eastAsia="仿宋_GB2312"/>
        </w:rPr>
        <w:t>西安国家民用航天产业基地管理委员会</w:t>
      </w:r>
      <w:r>
        <w:rPr>
          <w:rFonts w:ascii="仿宋_GB2312" w:hAnsi="仿宋_GB2312" w:cs="仿宋_GB2312" w:eastAsia="仿宋_GB2312"/>
        </w:rPr>
        <w:t>委托，拟对</w:t>
      </w:r>
      <w:r>
        <w:rPr>
          <w:rFonts w:ascii="仿宋_GB2312" w:hAnsi="仿宋_GB2312" w:cs="仿宋_GB2312" w:eastAsia="仿宋_GB2312"/>
        </w:rPr>
        <w:t>西安航天基地公共停车位经营权转让项目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SXWXZBDL2025-ZC-GK1003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西安航天基地公共停车位经营权转让项目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一、项目范围位于西安航天基地，共有公共停车位共计2961个，公共资源有偿使用期限30年。</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1、营业执照或其他组织：具有独立承担民事责任的法人、其他组织或自然人，并出具合法有效的营业执照或事业单位法人证书等国家规定的相关证明，自然人参与的提供其身份证明。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2、供应商应授权合法的人员参加投标全过程：法定代表人授权书（附法定代表人、被授权人身份证复印件），法定代表人直接参加投标，须提供法定代表人身份证明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3、财务状况：提供2023年或2024年度的经审计的完整财务会计报告（成立时间至提交投标文件截止时间不足一年的可提供成立后任意时段的资产负债表），或其基本存款账户开户银行出具的资信证明及基本存款账户开户许可证（基本账户信息表）</w:t>
      </w:r>
    </w:p>
    <w:p>
      <w:pPr>
        <w:pStyle w:val="null3"/>
      </w:pPr>
      <w:r>
        <w:rPr>
          <w:rFonts w:ascii="仿宋_GB2312" w:hAnsi="仿宋_GB2312" w:cs="仿宋_GB2312" w:eastAsia="仿宋_GB2312"/>
        </w:rPr>
        <w:t>4、依法缴纳税收证明资料：提供投标截止日前一年内任意一个月的纳税凭据或完税证明（增值税、印花税、城市维护建设费、企业所得税等一种或多种税种），依法免税的应提供相关证明材料。</w:t>
      </w:r>
    </w:p>
    <w:p>
      <w:pPr>
        <w:pStyle w:val="null3"/>
      </w:pPr>
      <w:r>
        <w:rPr>
          <w:rFonts w:ascii="仿宋_GB2312" w:hAnsi="仿宋_GB2312" w:cs="仿宋_GB2312" w:eastAsia="仿宋_GB2312"/>
        </w:rPr>
        <w:t>5、依法缴纳社会保险证明资料：提供投标截止日前一年内任意一个月的社会保障资金缴存单据或社保机构开具的社会保险参保缴费情况证明，依法不需要缴纳社会保障资金的应提供相关证明材料。</w:t>
      </w:r>
    </w:p>
    <w:p>
      <w:pPr>
        <w:pStyle w:val="null3"/>
      </w:pPr>
      <w:r>
        <w:rPr>
          <w:rFonts w:ascii="仿宋_GB2312" w:hAnsi="仿宋_GB2312" w:cs="仿宋_GB2312" w:eastAsia="仿宋_GB2312"/>
        </w:rPr>
        <w:t>6、书面声明：提供参加政府采购活动前三年内在经营 活动中没有重大违法记录的书面声明。</w:t>
      </w:r>
    </w:p>
    <w:p>
      <w:pPr>
        <w:pStyle w:val="null3"/>
      </w:pPr>
      <w:r>
        <w:rPr>
          <w:rFonts w:ascii="仿宋_GB2312" w:hAnsi="仿宋_GB2312" w:cs="仿宋_GB2312" w:eastAsia="仿宋_GB2312"/>
        </w:rPr>
        <w:t>7、承诺书：提供具有履行合同所必需的设备和专业技术能力的承诺。</w:t>
      </w:r>
    </w:p>
    <w:p>
      <w:pPr>
        <w:pStyle w:val="null3"/>
      </w:pPr>
      <w:r>
        <w:rPr>
          <w:rFonts w:ascii="仿宋_GB2312" w:hAnsi="仿宋_GB2312" w:cs="仿宋_GB2312" w:eastAsia="仿宋_GB2312"/>
        </w:rPr>
        <w:t>8、非联合体投标：本采购包不接受联合体投标，供应商提供非联合体投标承诺书。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西安国家民用航天产业基地管理委员会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西安市长安区航天中路369号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029-85688724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陕西万兴招标代理有限公司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陕西省西安市莲湖区北关正街35号方兴大厦4-018室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董雪、刘万铭、张小娜、李玉萍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029-89627187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采购包1：607.00元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本采购包履约保证金为合同金额的0.45%</w:t>
            </w:r>
          </w:p>
          <w:p>
            <w:pPr>
              <w:pStyle w:val="null3"/>
            </w:pPr>
            <w:r>
              <w:rPr>
                <w:rFonts w:ascii="仿宋_GB2312" w:hAnsi="仿宋_GB2312" w:cs="仿宋_GB2312" w:eastAsia="仿宋_GB2312"/>
              </w:rPr>
              <w:t>说明：由乙方向甲方提交，可通过履约保函等形式提交，具体由甲乙双方协商。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代理服务费收费标准：定额收取，人民币伍万伍仟元整（¥55000.00元）。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西安国家民用航天产业基地管理委员会</w:t>
      </w:r>
      <w:r>
        <w:rPr>
          <w:rFonts w:ascii="仿宋_GB2312" w:hAnsi="仿宋_GB2312" w:cs="仿宋_GB2312" w:eastAsia="仿宋_GB2312"/>
        </w:rPr>
        <w:t>和</w:t>
      </w:r>
      <w:r>
        <w:rPr>
          <w:rFonts w:ascii="仿宋_GB2312" w:hAnsi="仿宋_GB2312" w:cs="仿宋_GB2312" w:eastAsia="仿宋_GB2312"/>
        </w:rPr>
        <w:t>陕西万兴招标代理有限公司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西安国家民用航天产业基地管理委员会</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陕西万兴招标代理有限公司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西安国家民用航天产业基地管理委员会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陕西万兴招标代理有限公司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陕西万兴招标代理有限公司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陕西万兴招标代理有限公司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陕西万兴招标代理有限公司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联系人：董雪</w:t>
      </w:r>
    </w:p>
    <w:p>
      <w:pPr>
        <w:pStyle w:val="null3"/>
      </w:pPr>
      <w:r>
        <w:rPr>
          <w:rFonts w:ascii="仿宋_GB2312" w:hAnsi="仿宋_GB2312" w:cs="仿宋_GB2312" w:eastAsia="仿宋_GB2312"/>
        </w:rPr>
        <w:t>联系电话：029-89627187</w:t>
      </w:r>
    </w:p>
    <w:p>
      <w:pPr>
        <w:pStyle w:val="null3"/>
      </w:pPr>
      <w:r>
        <w:rPr>
          <w:rFonts w:ascii="仿宋_GB2312" w:hAnsi="仿宋_GB2312" w:cs="仿宋_GB2312" w:eastAsia="仿宋_GB2312"/>
        </w:rPr>
        <w:t>地址：陕西省西安市莲湖区北关正街35号方兴大厦4-018室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4"/>
        </w:rPr>
        <w:t>项目范围位于西安航天基地，共有公共停车位共计</w:t>
      </w:r>
      <w:r>
        <w:rPr>
          <w:rFonts w:ascii="仿宋_GB2312" w:hAnsi="仿宋_GB2312" w:cs="仿宋_GB2312" w:eastAsia="仿宋_GB2312"/>
          <w:sz w:val="24"/>
        </w:rPr>
        <w:t>2961个，公共资源有偿使用期限3</w:t>
      </w:r>
      <w:r>
        <w:rPr>
          <w:rFonts w:ascii="仿宋_GB2312" w:hAnsi="仿宋_GB2312" w:cs="仿宋_GB2312" w:eastAsia="仿宋_GB2312"/>
          <w:sz w:val="24"/>
        </w:rPr>
        <w:t>0</w:t>
      </w:r>
      <w:r>
        <w:rPr>
          <w:rFonts w:ascii="仿宋_GB2312" w:hAnsi="仿宋_GB2312" w:cs="仿宋_GB2312" w:eastAsia="仿宋_GB2312"/>
          <w:sz w:val="24"/>
        </w:rPr>
        <w:t>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607.00</w:t>
      </w:r>
    </w:p>
    <w:p>
      <w:pPr>
        <w:pStyle w:val="null3"/>
      </w:pPr>
      <w:r>
        <w:rPr>
          <w:rFonts w:ascii="仿宋_GB2312" w:hAnsi="仿宋_GB2312" w:cs="仿宋_GB2312" w:eastAsia="仿宋_GB2312"/>
        </w:rPr>
        <w:t>采购包最高限价（元）: 607.00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西安航天基地公共停车位经营权转让项目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607.00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标的名称：西安航天基地公共停车位经营权转让项目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一、</w:t>
            </w:r>
            <w:r>
              <w:rPr>
                <w:rFonts w:ascii="仿宋_GB2312" w:hAnsi="仿宋_GB2312" w:cs="仿宋_GB2312" w:eastAsia="仿宋_GB2312"/>
                <w:sz w:val="24"/>
              </w:rPr>
              <w:t>项目范围位于西安航天基地，共有公共停车位共计2961个，公共资源有偿使用期限30年。</w:t>
            </w:r>
          </w:p>
          <w:p>
            <w:pPr>
              <w:pStyle w:val="null3"/>
              <w:jc w:val="both"/>
            </w:pPr>
            <w:r>
              <w:rPr>
                <w:rFonts w:ascii="仿宋_GB2312" w:hAnsi="仿宋_GB2312" w:cs="仿宋_GB2312" w:eastAsia="仿宋_GB2312"/>
                <w:sz w:val="24"/>
              </w:rPr>
              <w:t>二、</w:t>
            </w:r>
            <w:r>
              <w:rPr>
                <w:rFonts w:ascii="仿宋_GB2312" w:hAnsi="仿宋_GB2312" w:cs="仿宋_GB2312" w:eastAsia="仿宋_GB2312"/>
                <w:sz w:val="24"/>
              </w:rPr>
              <w:t>经营权价值付费计算公式</w:t>
            </w:r>
          </w:p>
          <w:p>
            <w:pPr>
              <w:pStyle w:val="null3"/>
              <w:jc w:val="both"/>
            </w:pPr>
            <w:r>
              <w:rPr>
                <w:rFonts w:ascii="仿宋_GB2312" w:hAnsi="仿宋_GB2312" w:cs="仿宋_GB2312" w:eastAsia="仿宋_GB2312"/>
                <w:sz w:val="24"/>
              </w:rPr>
              <w:t>经营权价值付费计算公式为：22000万元+【3*（607-投标报价）】万元。上述公式中“3”为通过成本转换的方式，最终体现在公共资源有偿使用权价值中换算系数，通过测算模型、综合考虑税收和资金时间价值综合计算后得出。按运营成本投报，以2961个停车位每年运营成本179.81万元为基准，得出单车位年运营成本为607元。项目预算按单车位经营期年运营成本投报，基准数值为607元/个·年，并通过公示计算反馈到公共资源有偿使用权价值中。投报的运营成本越低，反向计算得出对应的公共资源有偿使用权价值越高。</w:t>
            </w:r>
          </w:p>
          <w:p>
            <w:pPr>
              <w:pStyle w:val="null3"/>
              <w:jc w:val="both"/>
            </w:pPr>
            <w:r>
              <w:rPr>
                <w:rFonts w:ascii="仿宋_GB2312" w:hAnsi="仿宋_GB2312" w:cs="仿宋_GB2312" w:eastAsia="仿宋_GB2312"/>
                <w:sz w:val="24"/>
                <w:b/>
              </w:rPr>
              <w:t>合同签订后3个月内，中标人将公共资源有偿使用权出让价款一次性转账支付至采购人指定银行账户。</w:t>
            </w:r>
          </w:p>
          <w:p>
            <w:pPr>
              <w:pStyle w:val="null3"/>
              <w:jc w:val="both"/>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针对本项目提供所需要的专业服务人员团队。</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针对本项目提供所需要的专业设备。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服务标准：按照国家相关标准、行业标准、地方标准或者其他标准、规范标准执行。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公共资源有偿使用期限30年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航天基地</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严格按照国家相关标准、行业标准、地方标准或者其他标准、规范标准执行。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合同签订后3个月内，乙方将公共资源有偿使用权出让价款一次性转账支付至甲方指定银行账户。乙方按约定支付经营权成交价款，达到付款条件起3日内，支付合同总金额的100%。</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本项目为非专门面向中小企业采购。 1、落实的政府采购政策：（1）《政府采购促进中小企业发展管理办法》（财库〔2020〕46号）； （2）《财政部司法部关于政府采购支持监狱企业发展有关问题的通知》（财库〔2014〕68号）； （3）《国务院办公厅关于建立政府强制采购节能产品制度的通知》（国发办〔2007〕51号）； （4）《节能产品政府采购实施意见》（财库〔2004〕185号）； （5）《环境标志产品政府采购实施的意见》（财库〔2006〕90号）； （6）《三部门联合发布关于促进残疾人就业政府采购政策的通知》（财库〔2017〕141号）； （7）《财政部发展改革委生态环境部市场监管总局关于调整优化节能产品、环境标志产品政府采购执行机制的通知》（财库〔2019〕9号）； （8）陕西省财政厅关于印发《陕西省中小企业政府采购信用融资办法》（陕财办采〔2018〕23号）； （9）《财政部农业农村部国家乡村振兴局关于运用政府采购政策支持乡村产业振兴的通知》（财库〔2021〕19号）； （10）《财政部农业农村部国家乡村振兴局中华全 国供销合作总社关于印发&lt;关于深入开展政府采购脱贫地区农副产品工作推进乡村产业振兴的实施意见&gt;的通知》（财库〔2021〕20号）； （11）《陕西省财政厅关于进一步加强政府绿色采购有关问题的通知》（陕财办采〔2021〕29号）； （12）《财政部关于在政府采购活动中落实平等对待内外资企业有关政策的通知》（财库〔2021〕35号）； （13）陕西省财政厅《关于加快推进我省中小企业政府采购信用融资工作的通知》（陕财办采〔2020〕15号）； （14）《关于进一步加大政府采购支持中小企业力度的通知》（财库〔2022〕19号）； （15）《陕西省财政厅关于进一步优化政府采购营商环境有关事项的通知》（陕财办采〔2023〕4号）； （16）其他需要落实的政府采购政策，详见招标文件。 2.本项目合同包1采购标的所属行业为：物业管理。 3.为保障政府采购电子化交易平台项目实施，供应商需要在线提交所有通过电子化交易平台实施的政府采购项目的响应文件，同时，线下提交响应文件正本壹套、副本贰套、电子版壹套（Word版和PDF版，U盘一套标明供应商名称和包号），正本、副本应胶装、密封（密封封面上标明供应商名称和包号）、签字盖章齐全。若电子响应文件与纸质响应文件不一致的，以电子响应文件为准；若正本和副本不符，以正本为准。线下递交文件时间：详见本项目招标公告文件截止时间；线下递交文件地点：西安市莲湖区北关正街35号方兴大厦4-018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法人、其他组织或自然人，并出具合法有效的营业执照或事业单位法人证书等国家规定的相关证明，自然人参与的提供其身份证明。2、供应商应授权合法的人员参加投标全过程：法定代表人授权书（附法定代表人、被授权人身份证复印件），法定代表人直接参加投标，须提供法定代表人身份证明。3、依依法缴纳税收证明资料：提供投标截止日前一年内任意一个月的纳税凭据或完税证明（增值税、印花税、城市维护建设费、企业所得税等一种或多种税种），依法免税的应提供相关证明材料。4、依法缴纳社会保险证明资料：提供投标截止日前一年内任意一个月的社会保障资金缴存单据或社保机构开具的社会保险参保缴费情况证明，依法不需要缴纳社会保障资金的应提供相关证明材料。5、书面声明：提供参加政府采购活动前三年内在经营活动中没有重大违法记录的书面声明。6、承诺书：提供具有履行合同所必需的设备和专业技术能力的承诺。 7、非联合体投标：本采购包不接受联合体投标，供应商提供非联合体投标承诺书。供应商需在项目电子化交易系统中按要求上传相应证明文件并进行电子签章。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商务条款偏离表.docx 资格证明文件.docx 贿赂书.docx 服务应答表.docx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或2024年度的经审计的完整财务会计报告（成立时间至提交投标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营业执照或其他组织</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年或2024年度的经审计的完整财务会计报告（成立时间至提交投标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依法缴纳税收证明资料</w:t>
            </w:r>
          </w:p>
        </w:tc>
        <w:tc>
          <w:tcPr>
            <w:tcW w:type="dxa" w:w="3322"/>
          </w:tcPr>
          <w:p>
            <w:pPr>
              <w:pStyle w:val="null3"/>
            </w:pPr>
            <w:r>
              <w:rPr>
                <w:rFonts w:ascii="仿宋_GB2312" w:hAnsi="仿宋_GB2312" w:cs="仿宋_GB2312" w:eastAsia="仿宋_GB2312"/>
              </w:rPr>
              <w:t>提供投标截止日前一年内任意一个月的纳税凭据或完税证明（增值税、印花税、城市维护建设费、企业所得税等一种或多种税种），依法免税的应提供相关证明材料。</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依法缴纳社会保险证明资料</w:t>
            </w:r>
          </w:p>
        </w:tc>
        <w:tc>
          <w:tcPr>
            <w:tcW w:type="dxa" w:w="3322"/>
          </w:tcPr>
          <w:p>
            <w:pPr>
              <w:pStyle w:val="null3"/>
            </w:pPr>
            <w:r>
              <w:rPr>
                <w:rFonts w:ascii="仿宋_GB2312" w:hAnsi="仿宋_GB2312" w:cs="仿宋_GB2312" w:eastAsia="仿宋_GB2312"/>
              </w:rPr>
              <w:t>提供投标截止日前一年内任意一个月的社会保障资金缴存单据或社保机构开具的社会保险参保缴费情况证明，依法不需要缴纳社会保障资金的应提供相关证明材料。</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提供参加政府采购活动前三年内在经营 活动中没有重大违法记录的书面声明。</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本采购包不接受联合体投标，供应商提供非联合体投标承诺书。</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投标文件上法定代表人或负责人或被授权人的盖章或签字齐全并加盖公章</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经营期</w:t>
            </w:r>
          </w:p>
        </w:tc>
        <w:tc>
          <w:tcPr>
            <w:tcW w:type="dxa" w:w="3322"/>
          </w:tcPr>
          <w:p>
            <w:pPr>
              <w:pStyle w:val="null3"/>
            </w:pPr>
            <w:r>
              <w:rPr>
                <w:rFonts w:ascii="仿宋_GB2312" w:hAnsi="仿宋_GB2312" w:cs="仿宋_GB2312" w:eastAsia="仿宋_GB2312"/>
              </w:rPr>
              <w:t>应满足招标文件中要求的经营期</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运营管理方案</w:t>
            </w:r>
          </w:p>
        </w:tc>
        <w:tc>
          <w:tcPr>
            <w:tcW w:type="dxa" w:w="2492"/>
          </w:tcPr>
          <w:p>
            <w:pPr>
              <w:pStyle w:val="null3"/>
            </w:pPr>
            <w:r>
              <w:rPr>
                <w:rFonts w:ascii="仿宋_GB2312" w:hAnsi="仿宋_GB2312" w:cs="仿宋_GB2312" w:eastAsia="仿宋_GB2312"/>
              </w:rPr>
              <w:t>针对本项目，提供相关运营管理方案，运营管理方案全面、合理，运营管理过程清晰、明了、得当，得[7-10]分，运营管理方案较全面、合理，运营管理过程得当，得[4-7)分，运营管理方案有所缺陷，管理过程有所缺失，得[1-4)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工作内容理解</w:t>
            </w:r>
          </w:p>
        </w:tc>
        <w:tc>
          <w:tcPr>
            <w:tcW w:type="dxa" w:w="2492"/>
          </w:tcPr>
          <w:p>
            <w:pPr>
              <w:pStyle w:val="null3"/>
            </w:pPr>
            <w:r>
              <w:rPr>
                <w:rFonts w:ascii="仿宋_GB2312" w:hAnsi="仿宋_GB2312" w:cs="仿宋_GB2312" w:eastAsia="仿宋_GB2312"/>
              </w:rPr>
              <w:t>供应商对本项目的工作内容理解清晰、全面，能清楚描述本次工作任务目标计[7-10]分；能较清楚描述本次工作任务目标计[4-7)分；内容简单计[1-4)分。未提供不计分。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应急管理方案</w:t>
            </w:r>
          </w:p>
        </w:tc>
        <w:tc>
          <w:tcPr>
            <w:tcW w:type="dxa" w:w="2492"/>
          </w:tcPr>
          <w:p>
            <w:pPr>
              <w:pStyle w:val="null3"/>
            </w:pPr>
            <w:r>
              <w:rPr>
                <w:rFonts w:ascii="仿宋_GB2312" w:hAnsi="仿宋_GB2312" w:cs="仿宋_GB2312" w:eastAsia="仿宋_GB2312"/>
              </w:rPr>
              <w:t>方案切合实际，针对性强，可行性强,完全满足并优于项目要求的计[7-10]分；措施基本完善、合理的计[4-7)分；措施一般、内容简单的计[1-4)分，未提供不得分。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关键点、重难点分析</w:t>
            </w:r>
          </w:p>
        </w:tc>
        <w:tc>
          <w:tcPr>
            <w:tcW w:type="dxa" w:w="2492"/>
          </w:tcPr>
          <w:p>
            <w:pPr>
              <w:pStyle w:val="null3"/>
            </w:pPr>
            <w:r>
              <w:rPr>
                <w:rFonts w:ascii="仿宋_GB2312" w:hAnsi="仿宋_GB2312" w:cs="仿宋_GB2312" w:eastAsia="仿宋_GB2312"/>
              </w:rPr>
              <w:t>正确识别本项目关键点及重难点，逐条列出且分析全面、具体、透彻，解决对策针对性强的，计[7-10]分； 对关键点、重难点的分析较全面，但不够具体和透彻，解决对策较合理可行的，计[4-7)分； 有关键点、重难点分析及解决对策，但描述不具体的，计[1-4)。未提供不得分。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根据投标人质量控制的可靠性、质量保障措施，提供明确的质量控制目标，且有详细的保障措施的计[7-10]分； 提供明确的质量控制目标，且有简单的保障措施的计[4-7)分； 质量控制目标不明确的计[1-4)分。未提供不得分。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投标人针对本项目整体进度规划合理、科学且必须满足招标文件要求，各环节时间节点安排切合实际，具有完备的具体措施和承诺，可行性高的，计[7-10]分； 措施和承诺较完善，可行度不高的计[4-7)分； 措施和承诺不明确计[1-4)。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项目管理措施完善、规范，能有效地保障项目实施过程的衔接、保证项目质量</w:t>
            </w:r>
          </w:p>
        </w:tc>
        <w:tc>
          <w:tcPr>
            <w:tcW w:type="dxa" w:w="2492"/>
          </w:tcPr>
          <w:p>
            <w:pPr>
              <w:pStyle w:val="null3"/>
            </w:pPr>
            <w:r>
              <w:rPr>
                <w:rFonts w:ascii="仿宋_GB2312" w:hAnsi="仿宋_GB2312" w:cs="仿宋_GB2312" w:eastAsia="仿宋_GB2312"/>
              </w:rPr>
              <w:t>项目管理措施完善、规范，能有效地保障项目实施过程的衔接、保证项目质量，具有完备的管理制度、具体措施和承诺，可行性高的，计[7-10]分； 项目管理措施较完善、规范，具有管理制度、具体措施和承诺，计[4-7)分； 具有项目管理措施及制度，但内容简单，可行度不高的，计[1-4)分。未提供不得分。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1、供应商承诺具有服务全过程的质量、时间节点的控制措施；承诺内容及措施完善合理计（6-9]分，承诺内容及措施基本合理计（3-6]分，承诺内容及措施内容欠缺，合理性差计[1-3]分。未提供不计分。 2、供应商根据本项目特点，制定详细完整的保密及廉洁措施、后期服务等相关内容做出承诺，承诺内容及措施完善合理计（6-9]分，承诺内容及措施基本合理计（3-6]分，承诺内容及措施内容欠缺，合理性差计[1-3]分。未提供不计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提供自2022年1月1日至今类似项目的业绩（需附合同复印件并加盖公章或中标通知书复印件，时间以合同签订时间或中标通知书落款时间为准），每提供一个业绩得1分，满分2分。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 ×价格分值（注：满足招标文件要求且投标价格最低的投标报价为评标基准价。）最低报价不是中标的唯一依据。因落实政府采购政策进行价格调整的， 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详见附件：服务应答表.docx</w:t>
      </w:r>
    </w:p>
    <w:p>
      <w:pPr>
        <w:pStyle w:val="null3"/>
        <w:ind w:firstLine="960"/>
      </w:pPr>
      <w:r>
        <w:rPr>
          <w:rFonts w:ascii="仿宋_GB2312" w:hAnsi="仿宋_GB2312" w:cs="仿宋_GB2312" w:eastAsia="仿宋_GB2312"/>
        </w:rPr>
        <w:t>详见附件：贿赂书.docx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详见附件：商务条款偏离表.docx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