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版本号：DX2025-19620250714001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图书馆改建项目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DX2025-196</w:t>
      </w:r>
      <w:r>
        <w:br/>
      </w:r>
      <w:r>
        <w:br/>
      </w:r>
      <w:r>
        <w:br/>
      </w:r>
    </w:p>
    <w:p>
      <w:pPr>
        <w:pStyle w:val="null3"/>
        <w:jc w:val="center"/>
        <w:outlineLvl w:val="2"/>
      </w:pPr>
      <w:r>
        <w:rPr>
          <w:rFonts w:ascii="仿宋_GB2312" w:hAnsi="仿宋_GB2312" w:cs="仿宋_GB2312" w:eastAsia="仿宋_GB2312"/>
          <w:sz w:val="28"/>
          <w:b/>
        </w:rPr>
        <w:t>西安市航天城第二中学</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西安市航天城第二中学</w:t>
      </w:r>
      <w:r>
        <w:rPr>
          <w:rFonts w:ascii="仿宋_GB2312" w:hAnsi="仿宋_GB2312" w:cs="仿宋_GB2312" w:eastAsia="仿宋_GB2312"/>
        </w:rPr>
        <w:t>委托，拟对</w:t>
      </w:r>
      <w:r>
        <w:rPr>
          <w:rFonts w:ascii="仿宋_GB2312" w:hAnsi="仿宋_GB2312" w:cs="仿宋_GB2312" w:eastAsia="仿宋_GB2312"/>
        </w:rPr>
        <w:t>图书馆改建项目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DX2025-196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图书馆改建项目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西安市航天城第二中学图书馆改建项目。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采购包1（图书馆改建项目）：属于专门面向小微企业采购。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 ：供应商须提供符合《中华人民共和国政府采购法》第二十二条的规定的资格承诺函。</w:t>
      </w:r>
    </w:p>
    <w:p>
      <w:pPr>
        <w:pStyle w:val="null3"/>
      </w:pPr>
      <w:r>
        <w:rPr>
          <w:rFonts w:ascii="仿宋_GB2312" w:hAnsi="仿宋_GB2312" w:cs="仿宋_GB2312" w:eastAsia="仿宋_GB2312"/>
        </w:rPr>
        <w:t>2、法定代表人授权委托书 ：法定代表人参加投标的，须提供法定代表人身份证明（法人参加只需提供法定代表人身份证明并与营业执照上信息一致）；法定代表人授权他人参加投标的，须提供法定代表人授权书及被授权人身份证（被授权人提供开标前半年内任意一个月的社保缴纳证明）</w:t>
      </w:r>
    </w:p>
    <w:p>
      <w:pPr>
        <w:pStyle w:val="null3"/>
      </w:pPr>
      <w:r>
        <w:rPr>
          <w:rFonts w:ascii="仿宋_GB2312" w:hAnsi="仿宋_GB2312" w:cs="仿宋_GB2312" w:eastAsia="仿宋_GB2312"/>
        </w:rPr>
        <w:t>3、信用记录 ：经查，未被列入“信用中国”网站记录的“失信被执行人”或“重大税收违法案件当事人”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4、特殊资格 ：1.供应商须具备建筑工程施工总承包三级及以上或建筑装修装饰工程专业承包二级及以上资质，具有合格有效的安全生产许可证； 2.拟派本工程项目经理具有建筑工程专业二级及以上注册建造师资格，具有合格有效的安全生产考核合格证（B证）,本单位注册且无在建工程（提供承诺书）。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西安市航天城第二中学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西安航天基地航腾路与京东大道西南角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西安市航天城第二中学经办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029-85887999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聂肖、张亚娜、李纪旋、刘艳娇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代理服务费收费标准：参照国家计委关于《国家发展改革委办公厅关于招标代理服务收费有关问题的通知》（发改价格[2003]857号）、《国家发展改革委关于进一步放开建设项目专业服务价格的通知》收取。 注：代理服务费不足8000元的，按8000元收取。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西安市航天城第二中学</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西安市航天城第二中学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西安市航天城第二中学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联系人：张亚娜、李纪旋、聂肖、刘艳娇</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详见磋商文件</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标的名称：详见磋商文件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一、概况及实施范围</w:t>
            </w:r>
          </w:p>
          <w:p>
            <w:pPr>
              <w:pStyle w:val="null3"/>
              <w:jc w:val="both"/>
            </w:pPr>
            <w:r>
              <w:rPr>
                <w:rFonts w:ascii="仿宋_GB2312" w:hAnsi="仿宋_GB2312" w:cs="仿宋_GB2312" w:eastAsia="仿宋_GB2312"/>
                <w:sz w:val="21"/>
              </w:rPr>
              <w:t>1、实施地点：甲方指定地点；</w:t>
            </w:r>
          </w:p>
          <w:p>
            <w:pPr>
              <w:pStyle w:val="null3"/>
              <w:jc w:val="both"/>
            </w:pPr>
            <w:r>
              <w:rPr>
                <w:rFonts w:ascii="仿宋_GB2312" w:hAnsi="仿宋_GB2312" w:cs="仿宋_GB2312" w:eastAsia="仿宋_GB2312"/>
                <w:sz w:val="21"/>
              </w:rPr>
              <w:t>2、工期：45天</w:t>
            </w:r>
          </w:p>
          <w:p>
            <w:pPr>
              <w:pStyle w:val="null3"/>
              <w:jc w:val="both"/>
            </w:pPr>
            <w:r>
              <w:rPr>
                <w:rFonts w:ascii="仿宋_GB2312" w:hAnsi="仿宋_GB2312" w:cs="仿宋_GB2312" w:eastAsia="仿宋_GB2312"/>
                <w:sz w:val="21"/>
              </w:rPr>
              <w:t>3、质保期：</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b/>
              </w:rPr>
              <w:t>二、工程量清单另附。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1.各供应商所有分项报价（与最后磋商报价比例一致）同比例下浮。 2.本项目通过电子化交易系统协商，供应商需在电子化交易系统上传响应的文件。中标供应商领取中标（成交）通知书时，向采购代理机构提供一正两副纸质投标文件及电子版1份（签字盖章扫描PDF和word文档格式，U盘存储）。 3.供应商应自协商文件递交截止时间起至开标结束，保持在线状态。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供应商须提供符合《中华人民共和国政府采购法》第二十二条的规定的资格承诺函。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人参加只需提供法定代表人身份证明并与营业执照上信息一致）；法定代表人授权他人参加投标的，须提供法定代表人授权书及被授权人身份证（被授权人提供开标前半年内任意一个月的社保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未被列入“信用中国”网站记录的“失信被执行人”或“重大税收违法案件当事人”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1.供应商须具备建筑工程施工总承包三级及以上或建筑装修装饰工程专业承包二级及以上资质，具有合格有效的安全生产许可证； 2.拟派本工程项目经理具有建筑工程专业二级及以上注册建造师资格，具有合格有效的安全生产考核合格证（B证）,本单位注册且无在建工程（提供承诺书）。</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第一次磋商报价表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已标价工程量清单 第一次磋商报价表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完全理解并接受《供应商廉洁自律承诺书》、《供应商企业关系关联承诺书》、《承诺书》内容。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响应文件对付款、工期、合同条款等商务要求进行响应，根据响应程度计0-3分。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（合同）商务主要条款响应偏差表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①提供详细的施工方案； ②拟投入的施工设施、设备及配置情况； ③施工进度计划安排： ④施工工作质量、安全、进度控制保障措施：⑤数据及资料管理方案； ⑥组织协调内容及措施； ⑦工作重点与难点分析及对应措施。 二、评审标准 1、完善性：方案必须全面，对评审内容中的各项要求有详细阐述； 2、可实施性：切合本项目实际情况，提出步骤清晰、合理的方案； 3、针对性：方案能够紧扣项目实际情况，内容科学合理。 上述7项评审内容全部满足评审标准得35分，每有一个评审内容缺项扣5分，每有一项评审内容存在缺陷，扣（0-5）分，扣完为止。 说明：缺陷是指内容没有结合项目实际需求、虽有内容但不完善、内容表述前后不一致、方案针对性较弱或与项目需求不匹配及其他不利于项目实施的等任意一种情形。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①团队机构设置、组成人员名单（包括但不限于项目经理、技术负责人、施工员、安全员、质量员、资料员），人员岗位职责； ②项目经理及团队人员中具有与本项目相关的专业人员证书（包括但不限于学历证、职称证、岗位证书等），提供复印件。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上述2项评审内容全部满足评审标准得10分，每有一个评审内容缺项扣5分，每有一项评审内容存在缺陷，扣（0-5）分； 说明：缺陷是指内容没有结合项目实际需求、虽有内容但不完善、内容表述前后不一致、方案针对性较弱或与项目需求不匹配及其他不利于项目实施的等任意一种情形。 注:项目负责人及团队人员提供有效的相关证书复印件并加盖公章。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①详细应急保障及应急处理团队； ②针对突发事件及紧急情况（包括防火、防盗、防骗、防事故，发生冰雹、暴雪、暴雨等灾害性天气，地震、火灾及停水、停电等其他突发事件）的应急预案； ③应急处理程序及设施设备。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上述3项评审内容全部满足评审标准得6分，每有一个评审内容缺项扣2分，每有一项评审内容存在缺陷，扣（0-2）分。 说明：缺陷是指内容没有结合项目实际需求、虽有内容但不完善、内容表述前后不一致、方案针对性较弱或与项目需求不匹配及其他不利于项目实施的等任意一种情形。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①服务质量承诺； ②服务响应时限、人员到位、安全保障、不能完全履行承诺时愿意接受相关处罚等以及其他服务的承诺； ③有利于本项目实施的合理化建议。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上述3项评审内容全部满足评审标准得6分，每有一个评审内容缺项扣2分，每有一项评审内容存在缺陷，扣（0-2）分，扣完为止。 说明：缺陷是指内容没有结合项目实际需求、虽有内容但不完善、内容表述前后不一致、方案针对性较弱或与项目需求不匹配及其他不利于项目实施的等任意一种情形。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供应商具有2022年7月1日至今的类似项目业绩证明文件（以合同签订时间为准），提供合同复印件加盖公章，每提供一份得2分，满分10分。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满足磋商文件要求且磋商总报价最低为评审基准价，其价格分为满分。 报价得分=（评审基准价／最终磋商总报价）×权值×100。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详见附件：（合同）商务主要条款响应偏差表</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详见附件：应急预案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