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8B4326">
      <w:pPr>
        <w:pStyle w:val="14"/>
        <w:rPr>
          <w:highlight w:val="none"/>
        </w:rPr>
      </w:pPr>
    </w:p>
    <w:p w14:paraId="303E8B90">
      <w:pPr>
        <w:rPr>
          <w:highlight w:val="none"/>
        </w:rPr>
      </w:pPr>
    </w:p>
    <w:p w14:paraId="7DF5580E">
      <w:pPr>
        <w:pStyle w:val="14"/>
        <w:rPr>
          <w:highlight w:val="none"/>
        </w:rPr>
      </w:pPr>
    </w:p>
    <w:p w14:paraId="4CF3B5EA">
      <w:pPr>
        <w:spacing w:before="183" w:line="242" w:lineRule="auto"/>
        <w:ind w:left="762" w:right="909" w:firstLine="0"/>
        <w:jc w:val="center"/>
        <w:rPr>
          <w:rFonts w:hint="eastAsia" w:ascii="仿宋" w:hAnsi="仿宋" w:eastAsia="仿宋" w:cs="仿宋"/>
          <w:b/>
          <w:w w:val="95"/>
          <w:sz w:val="52"/>
          <w:highlight w:val="none"/>
          <w:lang w:eastAsia="zh-CN"/>
        </w:rPr>
      </w:pPr>
    </w:p>
    <w:p w14:paraId="3115DDFB">
      <w:pPr>
        <w:spacing w:before="183" w:line="242" w:lineRule="auto"/>
        <w:ind w:left="762" w:right="909" w:firstLine="0"/>
        <w:jc w:val="center"/>
        <w:rPr>
          <w:rFonts w:hint="eastAsia" w:ascii="仿宋" w:hAnsi="仿宋" w:eastAsia="仿宋" w:cs="仿宋"/>
          <w:b/>
          <w:w w:val="95"/>
          <w:sz w:val="52"/>
          <w:highlight w:val="none"/>
          <w:lang w:eastAsia="zh-CN"/>
        </w:rPr>
      </w:pPr>
      <w:bookmarkStart w:id="4" w:name="_GoBack"/>
      <w:bookmarkEnd w:id="4"/>
    </w:p>
    <w:p w14:paraId="7CB1B175">
      <w:pPr>
        <w:spacing w:before="183" w:line="242" w:lineRule="auto"/>
        <w:ind w:left="762" w:right="909" w:firstLine="0"/>
        <w:jc w:val="center"/>
        <w:rPr>
          <w:rFonts w:hint="eastAsia" w:ascii="仿宋" w:hAnsi="仿宋" w:eastAsia="仿宋" w:cs="仿宋"/>
          <w:b/>
          <w:sz w:val="52"/>
          <w:highlight w:val="none"/>
          <w:lang w:eastAsia="zh-CN"/>
        </w:rPr>
      </w:pPr>
      <w:r>
        <w:rPr>
          <w:rFonts w:hint="eastAsia" w:ascii="仿宋" w:hAnsi="仿宋" w:eastAsia="仿宋" w:cs="仿宋"/>
          <w:b/>
          <w:w w:val="95"/>
          <w:sz w:val="52"/>
          <w:highlight w:val="none"/>
          <w:lang w:eastAsia="zh-CN"/>
        </w:rPr>
        <w:t>西安</w:t>
      </w:r>
      <w:r>
        <w:rPr>
          <w:rFonts w:hint="eastAsia" w:ascii="仿宋" w:hAnsi="仿宋" w:eastAsia="仿宋" w:cs="仿宋"/>
          <w:b/>
          <w:w w:val="95"/>
          <w:sz w:val="52"/>
          <w:highlight w:val="none"/>
        </w:rPr>
        <w:t>航天城第十一小学物业安保服务</w:t>
      </w:r>
      <w:r>
        <w:rPr>
          <w:rFonts w:hint="eastAsia" w:ascii="仿宋" w:hAnsi="仿宋" w:eastAsia="仿宋" w:cs="仿宋"/>
          <w:b/>
          <w:w w:val="95"/>
          <w:sz w:val="52"/>
          <w:highlight w:val="none"/>
          <w:lang w:eastAsia="zh-CN"/>
        </w:rPr>
        <w:t>合同</w:t>
      </w:r>
    </w:p>
    <w:p w14:paraId="0B92847F">
      <w:pPr>
        <w:pStyle w:val="14"/>
        <w:rPr>
          <w:rFonts w:hint="eastAsia" w:ascii="仿宋" w:hAnsi="仿宋" w:eastAsia="仿宋" w:cs="仿宋"/>
          <w:b/>
          <w:sz w:val="52"/>
          <w:highlight w:val="none"/>
        </w:rPr>
      </w:pPr>
    </w:p>
    <w:p w14:paraId="3456D1F1">
      <w:pPr>
        <w:pStyle w:val="14"/>
        <w:rPr>
          <w:rFonts w:hint="eastAsia" w:ascii="仿宋" w:hAnsi="仿宋" w:eastAsia="仿宋" w:cs="仿宋"/>
          <w:b/>
          <w:sz w:val="52"/>
          <w:highlight w:val="none"/>
        </w:rPr>
      </w:pPr>
    </w:p>
    <w:p w14:paraId="6BC60BB6">
      <w:pPr>
        <w:pStyle w:val="14"/>
        <w:spacing w:before="3"/>
        <w:rPr>
          <w:rFonts w:hint="eastAsia" w:ascii="仿宋" w:hAnsi="仿宋" w:eastAsia="仿宋" w:cs="仿宋"/>
          <w:b/>
          <w:sz w:val="74"/>
          <w:highlight w:val="none"/>
        </w:rPr>
      </w:pPr>
    </w:p>
    <w:p w14:paraId="7DF284B5">
      <w:pPr>
        <w:pStyle w:val="14"/>
        <w:spacing w:before="3"/>
        <w:rPr>
          <w:rFonts w:hint="eastAsia" w:ascii="仿宋" w:hAnsi="仿宋" w:eastAsia="仿宋" w:cs="仿宋"/>
          <w:b/>
          <w:sz w:val="74"/>
          <w:highlight w:val="none"/>
        </w:rPr>
      </w:pPr>
    </w:p>
    <w:p w14:paraId="53D4B55B">
      <w:pPr>
        <w:pStyle w:val="14"/>
        <w:spacing w:before="3"/>
        <w:rPr>
          <w:rFonts w:hint="eastAsia" w:ascii="仿宋" w:hAnsi="仿宋" w:eastAsia="仿宋" w:cs="仿宋"/>
          <w:b/>
          <w:sz w:val="74"/>
          <w:highlight w:val="none"/>
        </w:rPr>
      </w:pPr>
    </w:p>
    <w:p w14:paraId="5669F293">
      <w:pPr>
        <w:rPr>
          <w:rFonts w:hint="eastAsia" w:ascii="仿宋" w:hAnsi="仿宋" w:eastAsia="仿宋" w:cs="仿宋"/>
          <w:highlight w:val="none"/>
        </w:rPr>
      </w:pPr>
    </w:p>
    <w:p w14:paraId="2AAD7602">
      <w:pPr>
        <w:tabs>
          <w:tab w:val="left" w:pos="9174"/>
        </w:tabs>
        <w:spacing w:before="0"/>
        <w:ind w:right="0" w:firstLine="894" w:firstLineChars="300"/>
        <w:jc w:val="left"/>
        <w:rPr>
          <w:rFonts w:hint="eastAsia" w:ascii="仿宋" w:hAnsi="仿宋" w:eastAsia="仿宋" w:cs="仿宋"/>
          <w:sz w:val="30"/>
          <w:highlight w:val="none"/>
          <w:u w:val="single"/>
          <w:lang w:val="en-US" w:eastAsia="zh-CN"/>
        </w:rPr>
      </w:pPr>
      <w:r>
        <w:rPr>
          <w:rFonts w:hint="eastAsia" w:ascii="仿宋" w:hAnsi="仿宋" w:eastAsia="仿宋" w:cs="仿宋"/>
          <w:spacing w:val="-1"/>
          <w:sz w:val="30"/>
          <w:highlight w:val="none"/>
        </w:rPr>
        <w:t>甲</w:t>
      </w:r>
      <w:r>
        <w:rPr>
          <w:rFonts w:hint="eastAsia" w:ascii="仿宋" w:hAnsi="仿宋" w:eastAsia="仿宋" w:cs="仿宋"/>
          <w:sz w:val="30"/>
          <w:highlight w:val="none"/>
        </w:rPr>
        <w:t>方（采购人）：</w:t>
      </w:r>
      <w:r>
        <w:rPr>
          <w:rFonts w:hint="eastAsia" w:ascii="仿宋" w:hAnsi="仿宋" w:eastAsia="仿宋" w:cs="仿宋"/>
          <w:sz w:val="30"/>
          <w:highlight w:val="none"/>
          <w:u w:val="single"/>
        </w:rPr>
        <w:t xml:space="preserve"> </w:t>
      </w:r>
      <w:r>
        <w:rPr>
          <w:rFonts w:hint="eastAsia" w:ascii="仿宋" w:hAnsi="仿宋" w:eastAsia="仿宋" w:cs="仿宋"/>
          <w:sz w:val="30"/>
          <w:highlight w:val="none"/>
          <w:u w:val="single"/>
          <w:lang w:val="en-US" w:eastAsia="zh-CN"/>
        </w:rPr>
        <w:t xml:space="preserve">                          </w:t>
      </w:r>
    </w:p>
    <w:p w14:paraId="40CD8A1E">
      <w:pPr>
        <w:pStyle w:val="14"/>
        <w:rPr>
          <w:rFonts w:hint="eastAsia" w:ascii="仿宋" w:hAnsi="仿宋" w:eastAsia="仿宋" w:cs="仿宋"/>
          <w:sz w:val="20"/>
          <w:highlight w:val="none"/>
        </w:rPr>
      </w:pPr>
    </w:p>
    <w:p w14:paraId="576BBC16">
      <w:pPr>
        <w:pStyle w:val="14"/>
        <w:rPr>
          <w:rFonts w:hint="eastAsia" w:ascii="仿宋" w:hAnsi="仿宋" w:eastAsia="仿宋" w:cs="仿宋"/>
          <w:sz w:val="20"/>
          <w:highlight w:val="none"/>
        </w:rPr>
      </w:pPr>
    </w:p>
    <w:p w14:paraId="12CAE03D">
      <w:pPr>
        <w:pStyle w:val="14"/>
        <w:spacing w:before="4"/>
        <w:rPr>
          <w:rFonts w:hint="eastAsia" w:ascii="仿宋" w:hAnsi="仿宋" w:eastAsia="仿宋" w:cs="仿宋"/>
          <w:sz w:val="22"/>
          <w:highlight w:val="none"/>
        </w:rPr>
      </w:pPr>
    </w:p>
    <w:p w14:paraId="15A20718">
      <w:pPr>
        <w:tabs>
          <w:tab w:val="left" w:pos="9402"/>
        </w:tabs>
        <w:spacing w:before="67"/>
        <w:ind w:right="0" w:firstLine="900" w:firstLineChars="300"/>
        <w:jc w:val="left"/>
        <w:rPr>
          <w:rFonts w:hint="eastAsia" w:ascii="仿宋" w:hAnsi="仿宋" w:eastAsia="仿宋" w:cs="仿宋"/>
          <w:sz w:val="30"/>
          <w:highlight w:val="none"/>
          <w:u w:val="single"/>
          <w:lang w:val="en-US" w:eastAsia="zh-CN"/>
        </w:rPr>
      </w:pPr>
      <w:r>
        <w:rPr>
          <w:rFonts w:hint="eastAsia" w:ascii="仿宋" w:hAnsi="仿宋" w:eastAsia="仿宋" w:cs="仿宋"/>
          <w:sz w:val="30"/>
          <w:highlight w:val="none"/>
        </w:rPr>
        <w:t>乙方（</w:t>
      </w:r>
      <w:r>
        <w:rPr>
          <w:rFonts w:hint="eastAsia" w:ascii="仿宋" w:hAnsi="仿宋" w:eastAsia="仿宋" w:cs="仿宋"/>
          <w:sz w:val="30"/>
          <w:highlight w:val="none"/>
          <w:lang w:val="en-US" w:eastAsia="zh-CN"/>
        </w:rPr>
        <w:t>成交供应商</w:t>
      </w:r>
      <w:r>
        <w:rPr>
          <w:rFonts w:hint="eastAsia" w:ascii="仿宋" w:hAnsi="仿宋" w:eastAsia="仿宋" w:cs="仿宋"/>
          <w:sz w:val="30"/>
          <w:highlight w:val="none"/>
        </w:rPr>
        <w:t>）：</w:t>
      </w:r>
      <w:r>
        <w:rPr>
          <w:rFonts w:hint="eastAsia" w:ascii="仿宋" w:hAnsi="仿宋" w:eastAsia="仿宋" w:cs="仿宋"/>
          <w:spacing w:val="1"/>
          <w:sz w:val="30"/>
          <w:highlight w:val="none"/>
          <w:u w:val="single"/>
        </w:rPr>
        <w:t xml:space="preserve"> </w:t>
      </w:r>
      <w:r>
        <w:rPr>
          <w:rFonts w:hint="eastAsia" w:ascii="仿宋" w:hAnsi="仿宋" w:eastAsia="仿宋" w:cs="仿宋"/>
          <w:sz w:val="30"/>
          <w:highlight w:val="none"/>
          <w:u w:val="single"/>
        </w:rPr>
        <w:t xml:space="preserve"> </w:t>
      </w:r>
      <w:r>
        <w:rPr>
          <w:rFonts w:hint="eastAsia" w:ascii="仿宋" w:hAnsi="仿宋" w:eastAsia="仿宋" w:cs="仿宋"/>
          <w:sz w:val="30"/>
          <w:highlight w:val="none"/>
          <w:u w:val="single"/>
          <w:lang w:val="en-US" w:eastAsia="zh-CN"/>
        </w:rPr>
        <w:t xml:space="preserve">                         </w:t>
      </w:r>
    </w:p>
    <w:p w14:paraId="1F3D3574">
      <w:pPr>
        <w:pStyle w:val="14"/>
        <w:rPr>
          <w:rFonts w:hint="eastAsia" w:ascii="仿宋" w:hAnsi="仿宋" w:eastAsia="仿宋" w:cs="仿宋"/>
          <w:sz w:val="20"/>
          <w:highlight w:val="none"/>
        </w:rPr>
      </w:pPr>
    </w:p>
    <w:p w14:paraId="7B529038">
      <w:pPr>
        <w:pStyle w:val="14"/>
        <w:rPr>
          <w:rFonts w:hint="eastAsia" w:ascii="仿宋" w:hAnsi="仿宋" w:eastAsia="仿宋" w:cs="仿宋"/>
          <w:sz w:val="20"/>
          <w:highlight w:val="none"/>
        </w:rPr>
      </w:pPr>
    </w:p>
    <w:p w14:paraId="6CD85607">
      <w:pPr>
        <w:pStyle w:val="14"/>
        <w:rPr>
          <w:rFonts w:hint="eastAsia" w:ascii="仿宋" w:hAnsi="仿宋" w:eastAsia="仿宋" w:cs="仿宋"/>
          <w:sz w:val="20"/>
          <w:highlight w:val="none"/>
        </w:rPr>
      </w:pPr>
    </w:p>
    <w:p w14:paraId="215ACD37">
      <w:pPr>
        <w:pStyle w:val="14"/>
        <w:rPr>
          <w:rFonts w:hint="eastAsia" w:ascii="仿宋" w:hAnsi="仿宋" w:eastAsia="仿宋" w:cs="仿宋"/>
          <w:sz w:val="20"/>
          <w:highlight w:val="none"/>
        </w:rPr>
      </w:pPr>
    </w:p>
    <w:p w14:paraId="23482B29">
      <w:pPr>
        <w:pStyle w:val="14"/>
        <w:rPr>
          <w:rFonts w:hint="eastAsia" w:ascii="仿宋" w:hAnsi="仿宋" w:eastAsia="仿宋" w:cs="仿宋"/>
          <w:sz w:val="20"/>
          <w:highlight w:val="none"/>
        </w:rPr>
      </w:pPr>
    </w:p>
    <w:p w14:paraId="52781EF7">
      <w:pPr>
        <w:tabs>
          <w:tab w:val="left" w:pos="3405"/>
          <w:tab w:val="left" w:pos="4158"/>
        </w:tabs>
        <w:spacing w:before="216"/>
        <w:ind w:left="16" w:right="0" w:firstLine="0"/>
        <w:jc w:val="center"/>
        <w:rPr>
          <w:rFonts w:hint="eastAsia" w:ascii="仿宋" w:hAnsi="仿宋" w:eastAsia="仿宋" w:cs="仿宋"/>
          <w:sz w:val="30"/>
          <w:highlight w:val="none"/>
          <w:lang w:val="en-US" w:eastAsia="zh-CN"/>
        </w:rPr>
        <w:sectPr>
          <w:pgSz w:w="11910" w:h="16840"/>
          <w:pgMar w:top="607" w:right="900" w:bottom="1202" w:left="980" w:header="0" w:footer="1003" w:gutter="0"/>
          <w:pgNumType w:fmt="decimal"/>
          <w:cols w:space="0" w:num="1"/>
          <w:rtlGutter w:val="0"/>
          <w:docGrid w:linePitch="0" w:charSpace="0"/>
        </w:sectPr>
      </w:pPr>
      <w:r>
        <w:rPr>
          <w:rFonts w:hint="eastAsia" w:ascii="仿宋" w:hAnsi="仿宋" w:eastAsia="仿宋" w:cs="仿宋"/>
          <w:b/>
          <w:sz w:val="30"/>
          <w:highlight w:val="none"/>
        </w:rPr>
        <w:t>合同签订日期：202</w:t>
      </w:r>
      <w:r>
        <w:rPr>
          <w:rFonts w:hint="eastAsia" w:ascii="仿宋" w:hAnsi="仿宋" w:eastAsia="仿宋" w:cs="仿宋"/>
          <w:b/>
          <w:sz w:val="30"/>
          <w:highlight w:val="none"/>
          <w:lang w:val="en-US" w:eastAsia="zh-CN"/>
        </w:rPr>
        <w:t>5</w:t>
      </w:r>
      <w:r>
        <w:rPr>
          <w:rFonts w:hint="eastAsia" w:ascii="仿宋" w:hAnsi="仿宋" w:eastAsia="仿宋" w:cs="仿宋"/>
          <w:b/>
          <w:sz w:val="30"/>
          <w:highlight w:val="none"/>
        </w:rPr>
        <w:t>年</w:t>
      </w:r>
      <w:r>
        <w:rPr>
          <w:rFonts w:hint="eastAsia" w:ascii="仿宋" w:hAnsi="仿宋" w:eastAsia="仿宋" w:cs="仿宋"/>
          <w:b/>
          <w:sz w:val="30"/>
          <w:highlight w:val="none"/>
        </w:rPr>
        <w:tab/>
      </w:r>
      <w:r>
        <w:rPr>
          <w:rFonts w:hint="eastAsia" w:ascii="仿宋" w:hAnsi="仿宋" w:eastAsia="仿宋" w:cs="仿宋"/>
          <w:b/>
          <w:sz w:val="30"/>
          <w:highlight w:val="none"/>
        </w:rPr>
        <w:t>月</w:t>
      </w:r>
      <w:r>
        <w:rPr>
          <w:rFonts w:hint="eastAsia" w:ascii="仿宋" w:hAnsi="仿宋" w:eastAsia="仿宋" w:cs="仿宋"/>
          <w:b/>
          <w:sz w:val="30"/>
          <w:highlight w:val="none"/>
        </w:rPr>
        <w:tab/>
      </w:r>
      <w:r>
        <w:rPr>
          <w:rFonts w:hint="eastAsia" w:ascii="仿宋" w:hAnsi="仿宋" w:eastAsia="仿宋" w:cs="仿宋"/>
          <w:b/>
          <w:sz w:val="30"/>
          <w:highlight w:val="none"/>
          <w:lang w:val="en-US" w:eastAsia="zh-CN"/>
        </w:rPr>
        <w:t>日</w:t>
      </w:r>
    </w:p>
    <w:p w14:paraId="72E80B1C">
      <w:pPr>
        <w:keepNext w:val="0"/>
        <w:keepLines w:val="0"/>
        <w:pageBreakBefore w:val="0"/>
        <w:kinsoku/>
        <w:overflowPunct/>
        <w:topLinePunct w:val="0"/>
        <w:bidi w:val="0"/>
        <w:spacing w:line="360" w:lineRule="auto"/>
        <w:jc w:val="center"/>
        <w:textAlignment w:val="auto"/>
        <w:rPr>
          <w:rFonts w:hint="default" w:ascii="宋体" w:hAnsi="宋体" w:cs="宋体"/>
          <w:b/>
          <w:color w:val="auto"/>
          <w:sz w:val="24"/>
          <w:szCs w:val="24"/>
          <w:highlight w:val="none"/>
          <w:lang w:val="en-US" w:eastAsia="zh-CN"/>
        </w:rPr>
      </w:pPr>
      <w:bookmarkStart w:id="0" w:name="_Toc7573_WPSOffice_Level2"/>
      <w:r>
        <w:rPr>
          <w:rFonts w:hint="eastAsia" w:ascii="宋体" w:hAnsi="宋体" w:cs="宋体"/>
          <w:b/>
          <w:color w:val="auto"/>
          <w:sz w:val="24"/>
          <w:szCs w:val="24"/>
          <w:highlight w:val="none"/>
          <w:lang w:eastAsia="zh-CN"/>
        </w:rPr>
        <w:t>航天城第十一小学物业安保服务</w:t>
      </w:r>
      <w:r>
        <w:rPr>
          <w:rFonts w:hint="eastAsia" w:ascii="宋体" w:hAnsi="宋体" w:cs="宋体"/>
          <w:b/>
          <w:color w:val="auto"/>
          <w:sz w:val="24"/>
          <w:szCs w:val="24"/>
          <w:highlight w:val="none"/>
          <w:lang w:val="en-US" w:eastAsia="zh-CN"/>
        </w:rPr>
        <w:t>合同</w:t>
      </w:r>
    </w:p>
    <w:p w14:paraId="0D11A13D">
      <w:pPr>
        <w:keepNext w:val="0"/>
        <w:keepLines w:val="0"/>
        <w:pageBreakBefore w:val="0"/>
        <w:kinsoku/>
        <w:overflowPunct/>
        <w:topLinePunct w:val="0"/>
        <w:bidi w:val="0"/>
        <w:spacing w:line="360" w:lineRule="auto"/>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第一章  总　则</w:t>
      </w:r>
      <w:bookmarkEnd w:id="0"/>
    </w:p>
    <w:p w14:paraId="32DA5C03">
      <w:pPr>
        <w:spacing w:line="400" w:lineRule="exact"/>
        <w:ind w:firstLine="472" w:firstLineChars="196"/>
        <w:rPr>
          <w:rFonts w:ascii="仿宋" w:hAnsi="仿宋" w:eastAsia="仿宋" w:cs="仿宋"/>
          <w:b/>
          <w:bCs w:val="0"/>
          <w:color w:val="000000" w:themeColor="text1"/>
          <w:sz w:val="24"/>
          <w:highlight w:val="none"/>
          <w14:textFill>
            <w14:solidFill>
              <w14:schemeClr w14:val="tx1"/>
            </w14:solidFill>
          </w14:textFill>
        </w:rPr>
      </w:pPr>
      <w:r>
        <w:rPr>
          <w:rFonts w:hint="eastAsia" w:ascii="仿宋" w:hAnsi="仿宋" w:eastAsia="仿宋" w:cs="仿宋"/>
          <w:b/>
          <w:bCs w:val="0"/>
          <w:color w:val="000000" w:themeColor="text1"/>
          <w:sz w:val="24"/>
          <w:highlight w:val="none"/>
          <w14:textFill>
            <w14:solidFill>
              <w14:schemeClr w14:val="tx1"/>
            </w14:solidFill>
          </w14:textFill>
        </w:rPr>
        <w:t>第一条 本合同当事人</w:t>
      </w:r>
    </w:p>
    <w:p w14:paraId="7E08B315">
      <w:pPr>
        <w:spacing w:line="400" w:lineRule="exact"/>
        <w:ind w:firstLine="470" w:firstLineChars="196"/>
        <w:rPr>
          <w:rFonts w:hint="eastAsia" w:ascii="仿宋" w:hAnsi="仿宋" w:eastAsia="仿宋" w:cs="仿宋"/>
          <w:bCs/>
          <w:color w:val="000000" w:themeColor="text1"/>
          <w:sz w:val="24"/>
          <w:highlight w:val="none"/>
          <w:lang w:eastAsia="zh-CN"/>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委托方（以下简称甲方）：</w:t>
      </w:r>
      <w:r>
        <w:rPr>
          <w:rFonts w:hint="eastAsia" w:ascii="仿宋" w:hAnsi="仿宋" w:eastAsia="仿宋" w:cs="仿宋"/>
          <w:bCs/>
          <w:color w:val="000000" w:themeColor="text1"/>
          <w:sz w:val="24"/>
          <w:highlight w:val="none"/>
          <w:lang w:eastAsia="zh-CN"/>
          <w14:textFill>
            <w14:solidFill>
              <w14:schemeClr w14:val="tx1"/>
            </w14:solidFill>
          </w14:textFill>
        </w:rPr>
        <w:t>西安航天城第十一小学</w:t>
      </w:r>
    </w:p>
    <w:p w14:paraId="2ECB1E39">
      <w:pPr>
        <w:pStyle w:val="22"/>
        <w:ind w:firstLine="480" w:firstLineChars="200"/>
        <w:rPr>
          <w:rFonts w:hint="default" w:ascii="仿宋" w:hAnsi="仿宋" w:eastAsia="仿宋" w:cs="仿宋"/>
          <w:bCs/>
          <w:color w:val="000000" w:themeColor="text1"/>
          <w:sz w:val="24"/>
          <w:szCs w:val="24"/>
          <w:highlight w:val="none"/>
          <w14:textFill>
            <w14:solidFill>
              <w14:schemeClr w14:val="tx1"/>
            </w14:solidFill>
          </w14:textFill>
        </w:rPr>
      </w:pPr>
      <w:r>
        <w:rPr>
          <w:rFonts w:ascii="仿宋" w:hAnsi="仿宋" w:eastAsia="仿宋" w:cs="仿宋"/>
          <w:bCs/>
          <w:color w:val="000000" w:themeColor="text1"/>
          <w:sz w:val="24"/>
          <w:szCs w:val="24"/>
          <w:highlight w:val="none"/>
          <w14:textFill>
            <w14:solidFill>
              <w14:schemeClr w14:val="tx1"/>
            </w14:solidFill>
          </w14:textFill>
        </w:rPr>
        <w:t>地址：</w:t>
      </w:r>
      <w:bookmarkStart w:id="1" w:name="OLE_LINK1"/>
      <w:r>
        <w:rPr>
          <w:rFonts w:ascii="仿宋" w:hAnsi="仿宋" w:eastAsia="仿宋" w:cs="仿宋"/>
          <w:bCs/>
          <w:color w:val="000000" w:themeColor="text1"/>
          <w:kern w:val="2"/>
          <w:sz w:val="24"/>
          <w:szCs w:val="24"/>
          <w:highlight w:val="none"/>
          <w:lang w:eastAsia="zh-CN"/>
          <w14:textFill>
            <w14:solidFill>
              <w14:schemeClr w14:val="tx1"/>
            </w14:solidFill>
          </w14:textFill>
        </w:rPr>
        <w:t>西安市长安区航天基地航拓路与神舟六路十字西北角</w:t>
      </w:r>
      <w:bookmarkEnd w:id="1"/>
    </w:p>
    <w:p w14:paraId="41533245">
      <w:pPr>
        <w:pStyle w:val="22"/>
        <w:ind w:firstLine="480" w:firstLineChars="200"/>
        <w:rPr>
          <w:rFonts w:hint="default" w:ascii="仿宋" w:hAnsi="仿宋" w:eastAsia="仿宋" w:cs="仿宋"/>
          <w:bCs/>
          <w:color w:val="000000" w:themeColor="text1"/>
          <w:sz w:val="24"/>
          <w:szCs w:val="24"/>
          <w:highlight w:val="none"/>
          <w14:textFill>
            <w14:solidFill>
              <w14:schemeClr w14:val="tx1"/>
            </w14:solidFill>
          </w14:textFill>
        </w:rPr>
      </w:pPr>
      <w:r>
        <w:rPr>
          <w:rFonts w:ascii="仿宋" w:hAnsi="仿宋" w:eastAsia="仿宋" w:cs="仿宋"/>
          <w:bCs/>
          <w:color w:val="000000" w:themeColor="text1"/>
          <w:sz w:val="24"/>
          <w:szCs w:val="24"/>
          <w:highlight w:val="none"/>
          <w14:textFill>
            <w14:solidFill>
              <w14:schemeClr w14:val="tx1"/>
            </w14:solidFill>
          </w14:textFill>
        </w:rPr>
        <w:t>联系电话：</w:t>
      </w:r>
      <w:r>
        <w:rPr>
          <w:rFonts w:ascii="仿宋_GB2312" w:hAnsi="仿宋_GB2312" w:eastAsia="仿宋_GB2312" w:cs="仿宋_GB2312"/>
          <w:highlight w:val="none"/>
        </w:rPr>
        <w:t xml:space="preserve"> </w:t>
      </w:r>
      <w:r>
        <w:rPr>
          <w:rFonts w:ascii="仿宋" w:hAnsi="仿宋" w:eastAsia="仿宋" w:cs="仿宋"/>
          <w:bCs/>
          <w:color w:val="000000" w:themeColor="text1"/>
          <w:kern w:val="2"/>
          <w:sz w:val="24"/>
          <w:szCs w:val="24"/>
          <w:highlight w:val="none"/>
          <w:lang w:eastAsia="zh-CN"/>
          <w14:textFill>
            <w14:solidFill>
              <w14:schemeClr w14:val="tx1"/>
            </w14:solidFill>
          </w14:textFill>
        </w:rPr>
        <w:t>029-89696001</w:t>
      </w:r>
    </w:p>
    <w:p w14:paraId="2FBC586F">
      <w:pPr>
        <w:spacing w:line="400" w:lineRule="exact"/>
        <w:ind w:firstLine="470"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 xml:space="preserve">受委托方（以下简称乙方）： </w:t>
      </w:r>
    </w:p>
    <w:p w14:paraId="0EB43169">
      <w:pPr>
        <w:spacing w:line="400" w:lineRule="exact"/>
        <w:ind w:firstLine="470" w:firstLineChars="196"/>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地址：</w:t>
      </w:r>
    </w:p>
    <w:p w14:paraId="03D98EA4">
      <w:pPr>
        <w:spacing w:line="400" w:lineRule="exact"/>
        <w:ind w:firstLine="470"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联系电话：</w:t>
      </w:r>
    </w:p>
    <w:p w14:paraId="4C41EB71">
      <w:pPr>
        <w:spacing w:line="400" w:lineRule="exact"/>
        <w:ind w:firstLine="470"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根据有关法律、法规和磋商文件及乙方</w:t>
      </w:r>
      <w:r>
        <w:rPr>
          <w:rFonts w:hint="eastAsia" w:ascii="仿宋" w:hAnsi="仿宋" w:eastAsia="仿宋" w:cs="仿宋"/>
          <w:bCs/>
          <w:color w:val="000000" w:themeColor="text1"/>
          <w:sz w:val="24"/>
          <w:highlight w:val="none"/>
          <w:lang w:val="en-US" w:eastAsia="zh-CN"/>
          <w14:textFill>
            <w14:solidFill>
              <w14:schemeClr w14:val="tx1"/>
            </w14:solidFill>
          </w14:textFill>
        </w:rPr>
        <w:t>响应</w:t>
      </w:r>
      <w:r>
        <w:rPr>
          <w:rFonts w:hint="eastAsia" w:ascii="仿宋" w:hAnsi="仿宋" w:eastAsia="仿宋" w:cs="仿宋"/>
          <w:bCs/>
          <w:color w:val="000000" w:themeColor="text1"/>
          <w:sz w:val="24"/>
          <w:highlight w:val="none"/>
          <w14:textFill>
            <w14:solidFill>
              <w14:schemeClr w14:val="tx1"/>
            </w14:solidFill>
          </w14:textFill>
        </w:rPr>
        <w:t>文件，在自愿、平等、协商一玫的基础上，甲方将委托乙方实施服务和管理，订立本合同。</w:t>
      </w:r>
    </w:p>
    <w:p w14:paraId="17F21AEE">
      <w:pPr>
        <w:spacing w:line="400" w:lineRule="exact"/>
        <w:ind w:firstLine="472" w:firstLineChars="196"/>
        <w:rPr>
          <w:rFonts w:ascii="仿宋" w:hAnsi="仿宋" w:eastAsia="仿宋" w:cs="仿宋"/>
          <w:b/>
          <w:bCs w:val="0"/>
          <w:color w:val="000000" w:themeColor="text1"/>
          <w:sz w:val="24"/>
          <w:highlight w:val="none"/>
          <w14:textFill>
            <w14:solidFill>
              <w14:schemeClr w14:val="tx1"/>
            </w14:solidFill>
          </w14:textFill>
        </w:rPr>
      </w:pPr>
      <w:r>
        <w:rPr>
          <w:rFonts w:hint="eastAsia" w:ascii="仿宋" w:hAnsi="仿宋" w:eastAsia="仿宋" w:cs="仿宋"/>
          <w:b/>
          <w:bCs w:val="0"/>
          <w:color w:val="000000" w:themeColor="text1"/>
          <w:sz w:val="24"/>
          <w:highlight w:val="none"/>
          <w14:textFill>
            <w14:solidFill>
              <w14:schemeClr w14:val="tx1"/>
            </w14:solidFill>
          </w14:textFill>
        </w:rPr>
        <w:t>第二条 基本情况</w:t>
      </w:r>
    </w:p>
    <w:p w14:paraId="6B5B12CD">
      <w:pPr>
        <w:keepNext w:val="0"/>
        <w:keepLines w:val="0"/>
        <w:pageBreakBefore w:val="0"/>
        <w:widowControl/>
        <w:kinsoku/>
        <w:overflowPunct/>
        <w:topLinePunct w:val="0"/>
        <w:bidi w:val="0"/>
        <w:spacing w:line="360" w:lineRule="auto"/>
        <w:ind w:firstLine="480" w:firstLineChars="200"/>
        <w:jc w:val="left"/>
        <w:textAlignment w:val="auto"/>
        <w:rPr>
          <w:rFonts w:hint="eastAsia" w:ascii="仿宋" w:hAnsi="仿宋" w:eastAsia="仿宋" w:cs="仿宋"/>
          <w:bCs/>
          <w:color w:val="000000" w:themeColor="text1"/>
          <w:sz w:val="24"/>
          <w:highlight w:val="none"/>
          <w14:textFill>
            <w14:solidFill>
              <w14:schemeClr w14:val="tx1"/>
            </w14:solidFill>
          </w14:textFill>
        </w:rPr>
      </w:pPr>
      <w:bookmarkStart w:id="2" w:name="_Toc31158_WPSOffice_Level2"/>
      <w:r>
        <w:rPr>
          <w:rFonts w:hint="eastAsia" w:ascii="仿宋" w:hAnsi="仿宋" w:eastAsia="仿宋" w:cs="仿宋"/>
          <w:bCs/>
          <w:color w:val="000000" w:themeColor="text1"/>
          <w:sz w:val="24"/>
          <w:highlight w:val="none"/>
          <w14:textFill>
            <w14:solidFill>
              <w14:schemeClr w14:val="tx1"/>
            </w14:solidFill>
          </w14:textFill>
        </w:rPr>
        <w:t>为确保学校日常保洁、安保、绿化维修等工作正常开展，需进行物业、安保服务招标，结合学校实际情况。现拟通过政府采购程序确定一家物业安保供应商，为园所提供物业安保服务保障服务。</w:t>
      </w:r>
    </w:p>
    <w:p w14:paraId="57163530">
      <w:pPr>
        <w:keepNext w:val="0"/>
        <w:keepLines w:val="0"/>
        <w:pageBreakBefore w:val="0"/>
        <w:widowControl/>
        <w:kinsoku/>
        <w:overflowPunct/>
        <w:topLinePunct w:val="0"/>
        <w:bidi w:val="0"/>
        <w:spacing w:line="360" w:lineRule="auto"/>
        <w:ind w:firstLine="480" w:firstLineChars="200"/>
        <w:jc w:val="left"/>
        <w:textAlignment w:val="auto"/>
        <w:rPr>
          <w:rFonts w:hint="eastAsia" w:ascii="仿宋" w:hAnsi="仿宋" w:eastAsia="仿宋" w:cs="仿宋"/>
          <w:bCs/>
          <w:color w:val="000000" w:themeColor="text1"/>
          <w:sz w:val="24"/>
          <w:highlight w:val="none"/>
          <w:lang w:val="en-US" w:eastAsia="zh-CN"/>
          <w14:textFill>
            <w14:solidFill>
              <w14:schemeClr w14:val="tx1"/>
            </w14:solidFill>
          </w14:textFill>
        </w:rPr>
      </w:pPr>
      <w:r>
        <w:rPr>
          <w:rFonts w:hint="eastAsia" w:ascii="仿宋" w:hAnsi="仿宋" w:eastAsia="仿宋" w:cs="仿宋"/>
          <w:bCs/>
          <w:color w:val="000000" w:themeColor="text1"/>
          <w:sz w:val="24"/>
          <w:highlight w:val="none"/>
          <w:lang w:val="en-US" w:eastAsia="zh-CN"/>
          <w14:textFill>
            <w14:solidFill>
              <w14:schemeClr w14:val="tx1"/>
            </w14:solidFill>
          </w14:textFill>
        </w:rPr>
        <w:t>根据基地教育局核定标准，学校需配备安保人员12名。包含保安队长1名。物业服务按照学校实际需求：物业经理1名，保洁人员不少于14名包含保洁主管1名，水电工2名，弱电工1名，维修主管1名（具备消防员资格证和电梯证），消防控制室值班员2名（需具备消防员资格证），绿化工1名。</w:t>
      </w:r>
    </w:p>
    <w:p w14:paraId="6EE21100">
      <w:pPr>
        <w:spacing w:line="400" w:lineRule="exact"/>
        <w:ind w:firstLine="470"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服务期限：自合同签订之日起至2026年6月30日</w:t>
      </w:r>
    </w:p>
    <w:p w14:paraId="71B31C44">
      <w:pPr>
        <w:spacing w:line="400" w:lineRule="exact"/>
        <w:ind w:firstLine="470" w:firstLineChars="196"/>
        <w:rPr>
          <w:rFonts w:hint="eastAsia" w:ascii="仿宋" w:hAnsi="仿宋" w:eastAsia="仿宋" w:cs="仿宋"/>
          <w:bCs/>
          <w:color w:val="000000" w:themeColor="text1"/>
          <w:sz w:val="24"/>
          <w:highlight w:val="none"/>
          <w:lang w:eastAsia="zh-CN"/>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服务地点：</w:t>
      </w:r>
      <w:r>
        <w:rPr>
          <w:rFonts w:hint="eastAsia" w:ascii="仿宋" w:hAnsi="仿宋" w:eastAsia="仿宋" w:cs="仿宋"/>
          <w:bCs/>
          <w:color w:val="000000" w:themeColor="text1"/>
          <w:sz w:val="24"/>
          <w:highlight w:val="none"/>
          <w:lang w:eastAsia="zh-CN"/>
          <w14:textFill>
            <w14:solidFill>
              <w14:schemeClr w14:val="tx1"/>
            </w14:solidFill>
          </w14:textFill>
        </w:rPr>
        <w:t>西安航天城第十一小学</w:t>
      </w:r>
    </w:p>
    <w:bookmarkEnd w:id="2"/>
    <w:p w14:paraId="7F5052DD">
      <w:pPr>
        <w:spacing w:line="400" w:lineRule="exact"/>
        <w:ind w:firstLine="472" w:firstLineChars="196"/>
        <w:jc w:val="center"/>
        <w:rPr>
          <w:rFonts w:ascii="仿宋" w:hAnsi="仿宋" w:eastAsia="仿宋" w:cs="仿宋"/>
          <w:b/>
          <w:bCs/>
          <w:color w:val="000000" w:themeColor="text1"/>
          <w:sz w:val="24"/>
          <w:highlight w:val="none"/>
          <w14:textFill>
            <w14:solidFill>
              <w14:schemeClr w14:val="tx1"/>
            </w14:solidFill>
          </w14:textFill>
        </w:rPr>
      </w:pPr>
      <w:r>
        <w:rPr>
          <w:rFonts w:hint="eastAsia" w:ascii="仿宋" w:hAnsi="仿宋" w:eastAsia="仿宋" w:cs="仿宋"/>
          <w:b/>
          <w:bCs/>
          <w:color w:val="000000" w:themeColor="text1"/>
          <w:sz w:val="24"/>
          <w:highlight w:val="none"/>
          <w14:textFill>
            <w14:solidFill>
              <w14:schemeClr w14:val="tx1"/>
            </w14:solidFill>
          </w14:textFill>
        </w:rPr>
        <w:t>第二章 委托管理事项</w:t>
      </w:r>
    </w:p>
    <w:p w14:paraId="4787D35C">
      <w:pPr>
        <w:spacing w:line="400" w:lineRule="exact"/>
        <w:ind w:firstLine="472" w:firstLineChars="196"/>
        <w:rPr>
          <w:rFonts w:ascii="仿宋" w:hAnsi="仿宋" w:eastAsia="仿宋" w:cs="仿宋"/>
          <w:bCs/>
          <w:color w:val="000000" w:themeColor="text1"/>
          <w:sz w:val="24"/>
          <w:highlight w:val="none"/>
          <w:u w:val="singl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 xml:space="preserve">第三条 </w:t>
      </w:r>
      <w:r>
        <w:rPr>
          <w:rFonts w:hint="eastAsia" w:ascii="仿宋" w:hAnsi="仿宋" w:eastAsia="仿宋" w:cs="仿宋"/>
          <w:bCs/>
          <w:color w:val="000000" w:themeColor="text1"/>
          <w:sz w:val="24"/>
          <w:highlight w:val="none"/>
          <w14:textFill>
            <w14:solidFill>
              <w14:schemeClr w14:val="tx1"/>
            </w14:solidFill>
          </w14:textFill>
        </w:rPr>
        <w:t>服务委托内容：</w:t>
      </w:r>
      <w:r>
        <w:rPr>
          <w:rFonts w:hint="eastAsia" w:ascii="仿宋" w:hAnsi="仿宋" w:eastAsia="仿宋" w:cs="仿宋"/>
          <w:bCs/>
          <w:color w:val="000000" w:themeColor="text1"/>
          <w:sz w:val="24"/>
          <w:highlight w:val="none"/>
          <w:u w:val="single"/>
          <w14:textFill>
            <w14:solidFill>
              <w14:schemeClr w14:val="tx1"/>
            </w14:solidFill>
          </w14:textFill>
        </w:rPr>
        <w:t xml:space="preserve"> 物业安保服务 </w:t>
      </w:r>
      <w:r>
        <w:rPr>
          <w:rFonts w:hint="eastAsia" w:ascii="仿宋" w:hAnsi="仿宋" w:eastAsia="仿宋" w:cs="仿宋"/>
          <w:bCs/>
          <w:color w:val="000000" w:themeColor="text1"/>
          <w:sz w:val="24"/>
          <w:highlight w:val="none"/>
          <w14:textFill>
            <w14:solidFill>
              <w14:schemeClr w14:val="tx1"/>
            </w14:solidFill>
          </w14:textFill>
        </w:rPr>
        <w:t>采购工作，主要包含：</w:t>
      </w:r>
      <w:r>
        <w:rPr>
          <w:rFonts w:hint="eastAsia" w:ascii="仿宋" w:hAnsi="仿宋" w:eastAsia="仿宋" w:cs="仿宋"/>
          <w:bCs/>
          <w:color w:val="000000" w:themeColor="text1"/>
          <w:sz w:val="24"/>
          <w:highlight w:val="none"/>
          <w:u w:val="single"/>
          <w14:textFill>
            <w14:solidFill>
              <w14:schemeClr w14:val="tx1"/>
            </w14:solidFill>
          </w14:textFill>
        </w:rPr>
        <w:t xml:space="preserve"> 学校日常保洁、安保、绿化、维修等工作 。</w:t>
      </w:r>
    </w:p>
    <w:p w14:paraId="40C439A1">
      <w:pPr>
        <w:spacing w:line="400" w:lineRule="exact"/>
        <w:ind w:firstLine="472" w:firstLineChars="196"/>
        <w:jc w:val="center"/>
        <w:rPr>
          <w:rFonts w:ascii="仿宋" w:hAnsi="仿宋" w:eastAsia="仿宋" w:cs="仿宋"/>
          <w:b/>
          <w:bCs/>
          <w:color w:val="000000" w:themeColor="text1"/>
          <w:sz w:val="24"/>
          <w:highlight w:val="none"/>
          <w14:textFill>
            <w14:solidFill>
              <w14:schemeClr w14:val="tx1"/>
            </w14:solidFill>
          </w14:textFill>
        </w:rPr>
      </w:pPr>
      <w:r>
        <w:rPr>
          <w:rFonts w:hint="eastAsia" w:ascii="仿宋" w:hAnsi="仿宋" w:eastAsia="仿宋" w:cs="仿宋"/>
          <w:b/>
          <w:bCs/>
          <w:color w:val="000000" w:themeColor="text1"/>
          <w:sz w:val="24"/>
          <w:highlight w:val="none"/>
          <w14:textFill>
            <w14:solidFill>
              <w14:schemeClr w14:val="tx1"/>
            </w14:solidFill>
          </w14:textFill>
        </w:rPr>
        <w:t xml:space="preserve"> 第三章 委托管理期限</w:t>
      </w:r>
    </w:p>
    <w:p w14:paraId="42E39AB9">
      <w:pPr>
        <w:spacing w:line="400" w:lineRule="exact"/>
        <w:ind w:firstLine="472"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第四条</w:t>
      </w:r>
      <w:r>
        <w:rPr>
          <w:rFonts w:hint="eastAsia" w:ascii="仿宋" w:hAnsi="仿宋" w:eastAsia="仿宋" w:cs="仿宋"/>
          <w:bCs/>
          <w:color w:val="000000" w:themeColor="text1"/>
          <w:sz w:val="24"/>
          <w:highlight w:val="none"/>
          <w14:textFill>
            <w14:solidFill>
              <w14:schemeClr w14:val="tx1"/>
            </w14:solidFill>
          </w14:textFill>
        </w:rPr>
        <w:t xml:space="preserve"> 服务期限：自合同签订之日起至2026年6月30日</w:t>
      </w:r>
    </w:p>
    <w:p w14:paraId="30B37EC1">
      <w:pPr>
        <w:spacing w:line="400" w:lineRule="exact"/>
        <w:ind w:firstLine="472" w:firstLineChars="196"/>
        <w:jc w:val="center"/>
        <w:rPr>
          <w:rFonts w:ascii="仿宋" w:hAnsi="仿宋" w:eastAsia="仿宋" w:cs="仿宋"/>
          <w:b/>
          <w:bCs/>
          <w:color w:val="000000" w:themeColor="text1"/>
          <w:sz w:val="24"/>
          <w:highlight w:val="none"/>
          <w14:textFill>
            <w14:solidFill>
              <w14:schemeClr w14:val="tx1"/>
            </w14:solidFill>
          </w14:textFill>
        </w:rPr>
      </w:pPr>
      <w:r>
        <w:rPr>
          <w:rFonts w:hint="eastAsia" w:ascii="仿宋" w:hAnsi="仿宋" w:eastAsia="仿宋" w:cs="仿宋"/>
          <w:b/>
          <w:bCs/>
          <w:color w:val="000000" w:themeColor="text1"/>
          <w:sz w:val="24"/>
          <w:highlight w:val="none"/>
          <w14:textFill>
            <w14:solidFill>
              <w14:schemeClr w14:val="tx1"/>
            </w14:solidFill>
          </w14:textFill>
        </w:rPr>
        <w:t>第四章 服务费用</w:t>
      </w:r>
    </w:p>
    <w:p w14:paraId="711279E4">
      <w:pPr>
        <w:spacing w:line="400" w:lineRule="exact"/>
        <w:ind w:firstLine="472"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第五条</w:t>
      </w:r>
      <w:r>
        <w:rPr>
          <w:rFonts w:hint="eastAsia" w:ascii="仿宋" w:hAnsi="仿宋" w:eastAsia="仿宋" w:cs="仿宋"/>
          <w:bCs/>
          <w:color w:val="000000" w:themeColor="text1"/>
          <w:sz w:val="24"/>
          <w:highlight w:val="none"/>
          <w14:textFill>
            <w14:solidFill>
              <w14:schemeClr w14:val="tx1"/>
            </w14:solidFill>
          </w14:textFill>
        </w:rPr>
        <w:t xml:space="preserve"> 服务费用：</w:t>
      </w:r>
      <w:r>
        <w:rPr>
          <w:rFonts w:hint="eastAsia" w:ascii="仿宋" w:hAnsi="仿宋" w:eastAsia="仿宋" w:cs="仿宋"/>
          <w:bCs/>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bCs/>
          <w:color w:val="000000" w:themeColor="text1"/>
          <w:sz w:val="24"/>
          <w:highlight w:val="none"/>
          <w14:textFill>
            <w14:solidFill>
              <w14:schemeClr w14:val="tx1"/>
            </w14:solidFill>
          </w14:textFill>
        </w:rPr>
        <w:t>元。合同价款包括但不限于人工工资，社保，劳保， 福利，工服，办公物资及其他服务、管理所需物资，管理运营，利润，税金，及磋商文件和政策性文件规定的各项费用等承包计价的一切费用。</w:t>
      </w:r>
    </w:p>
    <w:p w14:paraId="6CDB207A">
      <w:pPr>
        <w:spacing w:line="400" w:lineRule="exact"/>
        <w:ind w:firstLine="472"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第六条</w:t>
      </w:r>
      <w:r>
        <w:rPr>
          <w:rFonts w:hint="eastAsia" w:ascii="仿宋" w:hAnsi="仿宋" w:eastAsia="仿宋" w:cs="仿宋"/>
          <w:bCs/>
          <w:color w:val="000000" w:themeColor="text1"/>
          <w:sz w:val="24"/>
          <w:highlight w:val="none"/>
          <w14:textFill>
            <w14:solidFill>
              <w14:schemeClr w14:val="tx1"/>
            </w14:solidFill>
          </w14:textFill>
        </w:rPr>
        <w:t xml:space="preserve"> 支付方式：</w:t>
      </w:r>
    </w:p>
    <w:p w14:paraId="2D79E3E1">
      <w:pPr>
        <w:spacing w:line="400" w:lineRule="exact"/>
        <w:ind w:firstLine="470"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具体支付方式由甲乙双方根据实际情况和任务协商，本付款方式仅为建议参考。</w:t>
      </w:r>
    </w:p>
    <w:p w14:paraId="3827F672">
      <w:pPr>
        <w:spacing w:line="400" w:lineRule="exact"/>
        <w:ind w:left="8" w:firstLine="470"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1．服务费按季度支付。甲方在每季度服务期到期后支付本项目总费用的25%。</w:t>
      </w:r>
    </w:p>
    <w:p w14:paraId="0774738A">
      <w:pPr>
        <w:spacing w:line="400" w:lineRule="exact"/>
        <w:ind w:left="8" w:firstLine="470"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2．每季度考核费用的支付标准：服务期内每季度平均考评分数达到 90-100分，每季度考核费用一次性结清；平均考评分数在 85-90分时，扣除每季度考核费用的30%，剩余部分一次性结清；平均考评分数在80-85分时，扣除每季度考核费用的50%，剩余部分一次性结清；满意率达到 80分以下时，扣除每季度全部考核费用。</w:t>
      </w:r>
    </w:p>
    <w:p w14:paraId="0CEE241A">
      <w:pPr>
        <w:spacing w:line="400" w:lineRule="exact"/>
        <w:ind w:left="8" w:firstLine="470" w:firstLineChars="196"/>
        <w:rPr>
          <w:ins w:id="0" w:author="殷丹" w:date="2025-07-13T22:02:00Z"/>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3．申请付款时，乙方须提供正式的税务发票，甲方凭乙方开具的税务发票进行付款。</w:t>
      </w:r>
    </w:p>
    <w:p w14:paraId="26EBC08E">
      <w:pPr>
        <w:pStyle w:val="2"/>
        <w:rPr>
          <w:highlight w:val="none"/>
        </w:rPr>
      </w:pPr>
      <w:r>
        <w:rPr>
          <w:rFonts w:hint="eastAsia" w:ascii="仿宋" w:hAnsi="仿宋" w:eastAsia="仿宋" w:cs="仿宋"/>
          <w:bCs/>
          <w:color w:val="000000" w:themeColor="text1"/>
          <w:sz w:val="24"/>
          <w:highlight w:val="none"/>
          <w14:textFill>
            <w14:solidFill>
              <w14:schemeClr w14:val="tx1"/>
            </w14:solidFill>
          </w14:textFill>
        </w:rPr>
        <w:t xml:space="preserve">  </w:t>
      </w:r>
      <w:r>
        <w:rPr>
          <w:rFonts w:hint="eastAsia" w:ascii="仿宋" w:hAnsi="仿宋" w:eastAsia="仿宋" w:cs="仿宋"/>
          <w:bCs/>
          <w:sz w:val="24"/>
          <w:highlight w:val="none"/>
        </w:rPr>
        <w:t xml:space="preserve">  4．甲方应及时向乙方付款，若迟延超过10天，应按同期贷款利率向乙方支付迟延付款利息，若超过30天，乙方有权解除合同，且要求甲方按照项目总额 5‰支付违约金。</w:t>
      </w:r>
    </w:p>
    <w:p w14:paraId="3D46C986">
      <w:pPr>
        <w:spacing w:line="400" w:lineRule="exact"/>
        <w:ind w:firstLine="472"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第七条</w:t>
      </w:r>
      <w:r>
        <w:rPr>
          <w:rFonts w:hint="eastAsia" w:ascii="仿宋" w:hAnsi="仿宋" w:eastAsia="仿宋" w:cs="仿宋"/>
          <w:bCs/>
          <w:color w:val="000000" w:themeColor="text1"/>
          <w:sz w:val="24"/>
          <w:highlight w:val="none"/>
          <w14:textFill>
            <w14:solidFill>
              <w14:schemeClr w14:val="tx1"/>
            </w14:solidFill>
          </w14:textFill>
        </w:rPr>
        <w:t xml:space="preserve"> 甲方房屋自用部位、自用设备及设备的维修、养护，在当事人提出委托时，乙方须接受委托并合理收费。</w:t>
      </w:r>
    </w:p>
    <w:p w14:paraId="520E916A">
      <w:pPr>
        <w:spacing w:line="400" w:lineRule="exact"/>
        <w:ind w:firstLine="472" w:firstLineChars="196"/>
        <w:jc w:val="center"/>
        <w:rPr>
          <w:rFonts w:hint="eastAsia" w:ascii="仿宋" w:hAnsi="仿宋" w:eastAsia="仿宋" w:cs="仿宋"/>
          <w:b/>
          <w:bCs/>
          <w:color w:val="000000" w:themeColor="text1"/>
          <w:sz w:val="24"/>
          <w:highlight w:val="none"/>
          <w14:textFill>
            <w14:solidFill>
              <w14:schemeClr w14:val="tx1"/>
            </w14:solidFill>
          </w14:textFill>
        </w:rPr>
      </w:pPr>
      <w:bookmarkStart w:id="3" w:name="_Hlk203381961"/>
      <w:r>
        <w:rPr>
          <w:rFonts w:hint="eastAsia" w:ascii="仿宋" w:hAnsi="仿宋" w:eastAsia="仿宋" w:cs="仿宋"/>
          <w:b/>
          <w:bCs/>
          <w:color w:val="000000" w:themeColor="text1"/>
          <w:sz w:val="24"/>
          <w:highlight w:val="none"/>
          <w14:textFill>
            <w14:solidFill>
              <w14:schemeClr w14:val="tx1"/>
            </w14:solidFill>
          </w14:textFill>
        </w:rPr>
        <w:t>第五章 物业服务内容</w:t>
      </w:r>
    </w:p>
    <w:bookmarkEnd w:id="3"/>
    <w:p w14:paraId="13ED7377">
      <w:pPr>
        <w:spacing w:line="400" w:lineRule="exact"/>
        <w:ind w:left="8" w:firstLine="472" w:firstLineChars="196"/>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 xml:space="preserve">第八条 </w:t>
      </w:r>
      <w:r>
        <w:rPr>
          <w:rFonts w:hint="eastAsia" w:ascii="仿宋" w:hAnsi="仿宋" w:eastAsia="仿宋" w:cs="仿宋"/>
          <w:bCs/>
          <w:color w:val="000000" w:themeColor="text1"/>
          <w:sz w:val="24"/>
          <w:highlight w:val="none"/>
          <w14:textFill>
            <w14:solidFill>
              <w14:schemeClr w14:val="tx1"/>
            </w14:solidFill>
          </w14:textFill>
        </w:rPr>
        <w:t>1</w:t>
      </w:r>
      <w:r>
        <w:rPr>
          <w:rFonts w:ascii="仿宋" w:hAnsi="仿宋" w:eastAsia="仿宋" w:cs="仿宋"/>
          <w:bCs/>
          <w:color w:val="000000" w:themeColor="text1"/>
          <w:sz w:val="24"/>
          <w:highlight w:val="none"/>
          <w14:textFill>
            <w14:solidFill>
              <w14:schemeClr w14:val="tx1"/>
            </w14:solidFill>
          </w14:textFill>
        </w:rPr>
        <w:t>.</w:t>
      </w:r>
      <w:r>
        <w:rPr>
          <w:rFonts w:hint="eastAsia" w:ascii="仿宋" w:hAnsi="仿宋" w:eastAsia="仿宋" w:cs="仿宋"/>
          <w:bCs/>
          <w:color w:val="000000" w:themeColor="text1"/>
          <w:sz w:val="24"/>
          <w:highlight w:val="none"/>
          <w14:textFill>
            <w14:solidFill>
              <w14:schemeClr w14:val="tx1"/>
            </w14:solidFill>
          </w14:textFill>
        </w:rPr>
        <w:t>客户服务</w:t>
      </w:r>
    </w:p>
    <w:p w14:paraId="17735B8C">
      <w:pPr>
        <w:spacing w:line="400" w:lineRule="exact"/>
        <w:ind w:left="8" w:firstLine="470" w:firstLineChars="196"/>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（1）建立24小时服务热线，执行首问责任制，所有问题均可以在承诺的时间内得到妥善的处理。</w:t>
      </w:r>
    </w:p>
    <w:p w14:paraId="3F8BCFFE">
      <w:pPr>
        <w:spacing w:line="400" w:lineRule="exact"/>
        <w:ind w:left="8" w:firstLine="470" w:firstLineChars="196"/>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（2）所有员工统一着装，佩戴工牌，行为言谈规范化，保证服务的整体形象。</w:t>
      </w:r>
    </w:p>
    <w:p w14:paraId="71B71DB6">
      <w:pPr>
        <w:spacing w:line="400" w:lineRule="exact"/>
        <w:ind w:left="8" w:firstLine="470" w:firstLineChars="196"/>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（3）建立回访制度，对客户提出的合理化建议，在认真总结和研究分析的基础上进行有针对的改进。</w:t>
      </w:r>
    </w:p>
    <w:p w14:paraId="18FBB22D">
      <w:pPr>
        <w:spacing w:line="400" w:lineRule="exact"/>
        <w:ind w:left="8" w:firstLine="470" w:firstLineChars="196"/>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（4）负责学校物业服务各类制度、服务流程、服务标准的制定及监督执行。</w:t>
      </w:r>
    </w:p>
    <w:p w14:paraId="0AEF20EC">
      <w:pPr>
        <w:spacing w:line="400" w:lineRule="exact"/>
        <w:ind w:left="8" w:firstLine="470" w:firstLineChars="196"/>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（5）负责组织学校各类应急突发事件演练的开展。</w:t>
      </w:r>
    </w:p>
    <w:p w14:paraId="12CEB688">
      <w:pPr>
        <w:spacing w:line="400" w:lineRule="exact"/>
        <w:ind w:left="8" w:firstLine="470" w:firstLineChars="196"/>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（6）积极配合校方开展各类相关活动（包含接待活动、文体活动、创文工作、疫情防控工作等）。</w:t>
      </w:r>
    </w:p>
    <w:p w14:paraId="1F3D4D1C">
      <w:pPr>
        <w:spacing w:line="400" w:lineRule="exact"/>
        <w:ind w:left="8" w:firstLine="470" w:firstLineChars="196"/>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2．校园保洁服务</w:t>
      </w:r>
    </w:p>
    <w:p w14:paraId="0DC3EC83">
      <w:pPr>
        <w:spacing w:line="400" w:lineRule="exact"/>
        <w:ind w:left="8" w:firstLine="470" w:firstLineChars="196"/>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（1）室内保洁（公共区域）：卫生间，电梯轿厢，消防楼梯，大厅，图书馆，会议室，报告厅，多功能教室，公共区域门窗、玻璃，消火栓，风雨操场及地下停车场等公共区域的日常清洁维护。</w:t>
      </w:r>
    </w:p>
    <w:p w14:paraId="3055200D">
      <w:pPr>
        <w:spacing w:line="400" w:lineRule="exact"/>
        <w:ind w:left="8" w:firstLine="470" w:firstLineChars="196"/>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2）室外保洁：操场，道路，绿化带，地面停车场地面排风口，散水、地沟，雨水井，路灯，指示牌，宣传牌，体育设施（活动器械），天台，雨棚，校区门口，自行车棚及垃圾中转站等室外公共区域的日常清洁维护。</w:t>
      </w:r>
    </w:p>
    <w:p w14:paraId="4CBB70FB">
      <w:pPr>
        <w:spacing w:line="400" w:lineRule="exact"/>
        <w:ind w:left="8" w:firstLine="470" w:firstLineChars="196"/>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（3）定期开展各类消杀及除四害工作。</w:t>
      </w:r>
    </w:p>
    <w:p w14:paraId="4DEA3A5B">
      <w:pPr>
        <w:spacing w:line="400" w:lineRule="exact"/>
        <w:ind w:left="8" w:firstLine="470" w:firstLineChars="196"/>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（4）严格按照招标文件配齐配足保洁人员。</w:t>
      </w:r>
    </w:p>
    <w:p w14:paraId="2DCD817D">
      <w:pPr>
        <w:spacing w:line="400" w:lineRule="exact"/>
        <w:ind w:left="8" w:firstLine="470" w:firstLineChars="196"/>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3.校园绿化服务</w:t>
      </w:r>
    </w:p>
    <w:p w14:paraId="3FED5660">
      <w:pPr>
        <w:spacing w:line="400" w:lineRule="exact"/>
        <w:ind w:left="8" w:firstLine="470" w:firstLineChars="196"/>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（1）乔木、灌木及草坪的日常养护、修剪、施肥、病虫害的防治。</w:t>
      </w:r>
    </w:p>
    <w:p w14:paraId="0F178309">
      <w:pPr>
        <w:spacing w:line="400" w:lineRule="exact"/>
        <w:ind w:left="8" w:firstLine="470" w:firstLineChars="196"/>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（2）做好草坪、花坛内的日常保洁工作。</w:t>
      </w:r>
    </w:p>
    <w:p w14:paraId="140AA1CD">
      <w:pPr>
        <w:spacing w:line="400" w:lineRule="exact"/>
        <w:ind w:left="8" w:firstLine="470" w:firstLineChars="196"/>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（3）熟练操作各种绿化工具、设备，掌握各类绿化物料的使用方法，并严格遵守各项安全操作规程。</w:t>
      </w:r>
    </w:p>
    <w:p w14:paraId="76EDEB6B">
      <w:pPr>
        <w:spacing w:line="400" w:lineRule="exact"/>
        <w:ind w:left="8" w:firstLine="470" w:firstLineChars="196"/>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（4）根据季节特点，落实绿化各项措施，做好排涝、防风、防高温、抗旱的工作。</w:t>
      </w:r>
    </w:p>
    <w:p w14:paraId="206D5FAF">
      <w:pPr>
        <w:spacing w:line="400" w:lineRule="exact"/>
        <w:ind w:left="8" w:firstLine="470" w:firstLineChars="196"/>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4．校园工程服务</w:t>
      </w:r>
    </w:p>
    <w:p w14:paraId="1EFC8123">
      <w:pPr>
        <w:spacing w:line="400" w:lineRule="exact"/>
        <w:ind w:left="8" w:firstLine="470" w:firstLineChars="196"/>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（1）制定设施设备安全运行管理制度，落实安全运行岗位责任制。</w:t>
      </w:r>
    </w:p>
    <w:p w14:paraId="57F2D6E8">
      <w:pPr>
        <w:spacing w:line="400" w:lineRule="exact"/>
        <w:ind w:left="8" w:firstLine="470" w:firstLineChars="196"/>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（2）建立各种设施设备突发事件的应急处理机制和预案。</w:t>
      </w:r>
    </w:p>
    <w:p w14:paraId="1A2B6F28">
      <w:pPr>
        <w:spacing w:line="400" w:lineRule="exact"/>
        <w:ind w:left="8" w:firstLine="470" w:firstLineChars="196"/>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3）房屋建筑本体共用部位（包括但不限于：屋顶梁、柱、内外墙体和基础等承重结构部位，外墙面、屋面、大厅、公共门厅、走廊通道、楼梯间、电梯井、门窗、地下车库、设备机房等）的日常维修、养护和管理。</w:t>
      </w:r>
    </w:p>
    <w:p w14:paraId="0F540217">
      <w:pPr>
        <w:spacing w:line="400" w:lineRule="exact"/>
        <w:ind w:left="8" w:firstLine="470" w:firstLineChars="196"/>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4）房屋建筑本体共用设施设备（包括但不限于：供配电系统、给排水系统、空调系统、消防系统、安防系统、电梯系统、避雷系统、供暖系统、隔油池、化粪池、智能控制系统、二次水箱、直饮机系统等）日常运行、维护保养等管理。及时提出设施设备大中修及更新改造建议和其他需要协调事项，待服务单位审核通过后，配合服务单位及时处理。</w:t>
      </w:r>
    </w:p>
    <w:p w14:paraId="24E0D472">
      <w:pPr>
        <w:spacing w:line="400" w:lineRule="exact"/>
        <w:ind w:left="8" w:firstLine="470" w:firstLineChars="196"/>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（5）日常修缮服务。负责校区内的门、窗、五金件、玻璃、锁具、洁具、灯具、插销、排风扇、新风口、门、仪表的日常维修保养。</w:t>
      </w:r>
    </w:p>
    <w:p w14:paraId="6042D3B5">
      <w:pPr>
        <w:spacing w:line="400" w:lineRule="exact"/>
        <w:ind w:left="8" w:firstLine="470" w:firstLineChars="196"/>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5．校园安保服务</w:t>
      </w:r>
    </w:p>
    <w:p w14:paraId="7EC0ACBA">
      <w:pPr>
        <w:spacing w:line="400" w:lineRule="exact"/>
        <w:ind w:left="8" w:firstLine="470" w:firstLineChars="196"/>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（1）熟悉值勤岗位区域内的地形、地物，了解值勤岗位区域内的消防设施分布和使用，掌握报警方法。</w:t>
      </w:r>
    </w:p>
    <w:p w14:paraId="40AF63F1">
      <w:pPr>
        <w:spacing w:line="400" w:lineRule="exact"/>
        <w:ind w:left="8" w:firstLine="470" w:firstLineChars="196"/>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（2）掌握保安业务知识，熟悉学校各项安全管理制度。</w:t>
      </w:r>
    </w:p>
    <w:p w14:paraId="2399DE82">
      <w:pPr>
        <w:spacing w:line="400" w:lineRule="exact"/>
        <w:ind w:left="8" w:firstLine="470" w:firstLineChars="196"/>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（3）严守岗位职责和工作规程，爱护通讯器材和物防设备。维护值勤岗位区域内的正常秩序、疏导交通。</w:t>
      </w:r>
    </w:p>
    <w:p w14:paraId="60F9DF6A">
      <w:pPr>
        <w:spacing w:line="400" w:lineRule="exact"/>
        <w:ind w:left="8" w:firstLine="470" w:firstLineChars="196"/>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（4）及时发现值勤岗位区域的各类安全隐患并上报。</w:t>
      </w:r>
    </w:p>
    <w:p w14:paraId="6CFCDC91">
      <w:pPr>
        <w:spacing w:line="400" w:lineRule="exact"/>
        <w:ind w:left="8" w:firstLine="470" w:firstLineChars="196"/>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（5）果断处理值勤中发现的问题，发现可疑人、事、物或其治安信息，应及时盘查或监控，并上报总务主任或相关领导。必要时，启动报警器或向110报警。</w:t>
      </w:r>
    </w:p>
    <w:p w14:paraId="3BA69891">
      <w:pPr>
        <w:spacing w:line="400" w:lineRule="exact"/>
        <w:ind w:left="8" w:firstLine="470" w:firstLineChars="196"/>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（6）制止师生各种不安全或易造成伤害的行为，发生违章或不服从管理者，应婉言劝阻并妥善处理，不听劝阻的，及时上报总务主任解决。</w:t>
      </w:r>
    </w:p>
    <w:p w14:paraId="0137D01E">
      <w:pPr>
        <w:spacing w:line="400" w:lineRule="exact"/>
        <w:ind w:left="8" w:firstLine="470" w:firstLineChars="196"/>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（7）遇有火警或其他紧急情况，应迅速扑救或采取有效措施保护现场，并及时上报总务主任。</w:t>
      </w:r>
    </w:p>
    <w:p w14:paraId="5537AF6B">
      <w:pPr>
        <w:spacing w:line="400" w:lineRule="exact"/>
        <w:ind w:left="8" w:firstLine="470" w:firstLineChars="196"/>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（8）建立执勤巡逻和交接班记录台账，做好每日值勤问题记录和交接班记录，要求清楚、准确、属实。</w:t>
      </w:r>
    </w:p>
    <w:p w14:paraId="54516F44">
      <w:pPr>
        <w:spacing w:line="400" w:lineRule="exact"/>
        <w:ind w:left="8" w:firstLine="470" w:firstLineChars="196"/>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（9）按时参加保安人员工作例会和相关业务培训，认真听讲并做好记录。</w:t>
      </w:r>
    </w:p>
    <w:p w14:paraId="53266F60">
      <w:pPr>
        <w:spacing w:line="400" w:lineRule="exact"/>
        <w:ind w:left="8" w:firstLine="470" w:firstLineChars="196"/>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（10）工作中遇到疑难问题，应及时上报保卫主任，不得擅作主张或隐瞒不报。</w:t>
      </w:r>
    </w:p>
    <w:p w14:paraId="048B9064">
      <w:pPr>
        <w:spacing w:line="400" w:lineRule="exact"/>
        <w:ind w:left="8" w:firstLine="470" w:firstLineChars="196"/>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（11）在不妨碍保安日常工作的前提下，协助其他部门做好服务工作。</w:t>
      </w:r>
    </w:p>
    <w:p w14:paraId="792F0FFC">
      <w:pPr>
        <w:spacing w:line="400" w:lineRule="exact"/>
        <w:ind w:left="8" w:firstLine="470" w:firstLineChars="196"/>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（12）严格按照招标文件配齐配足安保人员。</w:t>
      </w:r>
    </w:p>
    <w:p w14:paraId="1D853793">
      <w:pPr>
        <w:spacing w:line="400" w:lineRule="exact"/>
        <w:ind w:left="8" w:firstLine="470"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（13）按时完成上级交办的其他安全工作。</w:t>
      </w:r>
    </w:p>
    <w:p w14:paraId="60BAD152">
      <w:pPr>
        <w:spacing w:line="400" w:lineRule="exact"/>
        <w:ind w:left="8" w:firstLine="472" w:firstLineChars="196"/>
        <w:jc w:val="center"/>
        <w:rPr>
          <w:rFonts w:hint="eastAsia" w:ascii="仿宋" w:hAnsi="仿宋" w:eastAsia="仿宋" w:cs="仿宋"/>
          <w:b/>
          <w:bCs/>
          <w:color w:val="000000" w:themeColor="text1"/>
          <w:sz w:val="24"/>
          <w:highlight w:val="none"/>
          <w14:textFill>
            <w14:solidFill>
              <w14:schemeClr w14:val="tx1"/>
            </w14:solidFill>
          </w14:textFill>
        </w:rPr>
      </w:pPr>
      <w:r>
        <w:rPr>
          <w:rFonts w:hint="eastAsia" w:ascii="仿宋" w:hAnsi="仿宋" w:eastAsia="仿宋" w:cs="仿宋"/>
          <w:b/>
          <w:bCs/>
          <w:color w:val="000000" w:themeColor="text1"/>
          <w:sz w:val="24"/>
          <w:highlight w:val="none"/>
          <w14:textFill>
            <w14:solidFill>
              <w14:schemeClr w14:val="tx1"/>
            </w14:solidFill>
          </w14:textFill>
        </w:rPr>
        <w:t>第六章 物业服务内容及标准</w:t>
      </w:r>
    </w:p>
    <w:p w14:paraId="0F1BDD9E">
      <w:pPr>
        <w:spacing w:line="400" w:lineRule="exact"/>
        <w:ind w:left="8" w:firstLine="472" w:firstLineChars="196"/>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 xml:space="preserve">第九条 </w:t>
      </w:r>
    </w:p>
    <w:p w14:paraId="3B11BA49">
      <w:pPr>
        <w:spacing w:line="400" w:lineRule="exact"/>
        <w:ind w:left="8" w:firstLine="470" w:firstLineChars="196"/>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1．日常服务：接到服务信息，及时处理和反馈，有服务信息记录。</w:t>
      </w:r>
    </w:p>
    <w:p w14:paraId="32244BBA">
      <w:pPr>
        <w:spacing w:line="400" w:lineRule="exact"/>
        <w:ind w:left="8" w:firstLine="470" w:firstLineChars="196"/>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2．紧急情况：接到信息后15分钟内到达现场，采取紧急措施，对洪涝、地震等突发性自然灾害，火灾、公共卫生、电梯故障等突发事件制定应急预案，每年组织2次以上应急预案演习。</w:t>
      </w:r>
    </w:p>
    <w:p w14:paraId="3579E3CE">
      <w:pPr>
        <w:spacing w:line="400" w:lineRule="exact"/>
        <w:ind w:left="8" w:firstLine="470" w:firstLineChars="196"/>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3．每学期客户问卷调查满意率达到90％以上。</w:t>
      </w:r>
    </w:p>
    <w:p w14:paraId="1AEFA4ED">
      <w:pPr>
        <w:spacing w:line="400" w:lineRule="exact"/>
        <w:ind w:left="8" w:firstLine="470" w:firstLineChars="196"/>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4．公共设施设备、公共环境卫生：具体服务内容及标准详见附件三。</w:t>
      </w:r>
    </w:p>
    <w:p w14:paraId="5FADED86">
      <w:pPr>
        <w:spacing w:line="400" w:lineRule="exact"/>
        <w:ind w:firstLine="472" w:firstLineChars="196"/>
        <w:jc w:val="center"/>
        <w:rPr>
          <w:rFonts w:ascii="仿宋" w:hAnsi="仿宋" w:eastAsia="仿宋" w:cs="仿宋"/>
          <w:b/>
          <w:bCs/>
          <w:color w:val="000000" w:themeColor="text1"/>
          <w:sz w:val="24"/>
          <w:highlight w:val="none"/>
          <w14:textFill>
            <w14:solidFill>
              <w14:schemeClr w14:val="tx1"/>
            </w14:solidFill>
          </w14:textFill>
        </w:rPr>
      </w:pPr>
      <w:r>
        <w:rPr>
          <w:rFonts w:hint="eastAsia" w:ascii="仿宋" w:hAnsi="仿宋" w:eastAsia="仿宋" w:cs="仿宋"/>
          <w:b/>
          <w:bCs/>
          <w:color w:val="000000" w:themeColor="text1"/>
          <w:sz w:val="24"/>
          <w:highlight w:val="none"/>
          <w14:textFill>
            <w14:solidFill>
              <w14:schemeClr w14:val="tx1"/>
            </w14:solidFill>
          </w14:textFill>
        </w:rPr>
        <w:t>第七章 双方权利义务</w:t>
      </w:r>
    </w:p>
    <w:p w14:paraId="2E7E1156">
      <w:pPr>
        <w:spacing w:line="400" w:lineRule="exact"/>
        <w:ind w:firstLine="472"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第十条</w:t>
      </w:r>
      <w:r>
        <w:rPr>
          <w:rFonts w:hint="eastAsia" w:ascii="仿宋" w:hAnsi="仿宋" w:eastAsia="仿宋" w:cs="仿宋"/>
          <w:bCs/>
          <w:color w:val="000000" w:themeColor="text1"/>
          <w:sz w:val="24"/>
          <w:highlight w:val="none"/>
          <w14:textFill>
            <w14:solidFill>
              <w14:schemeClr w14:val="tx1"/>
            </w14:solidFill>
          </w14:textFill>
        </w:rPr>
        <w:t xml:space="preserve"> 甲方权利义务</w:t>
      </w:r>
    </w:p>
    <w:p w14:paraId="356BDA0C">
      <w:pPr>
        <w:spacing w:line="400" w:lineRule="exact"/>
        <w:ind w:firstLine="470"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1．代表和维护产权人、使用人的合法权益；</w:t>
      </w:r>
    </w:p>
    <w:p w14:paraId="0598D4FB">
      <w:pPr>
        <w:spacing w:line="400" w:lineRule="exact"/>
        <w:ind w:firstLine="470"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2．监督乙方遵守公约；</w:t>
      </w:r>
    </w:p>
    <w:p w14:paraId="532F53C2">
      <w:pPr>
        <w:spacing w:line="400" w:lineRule="exact"/>
        <w:ind w:firstLine="470"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3．审定乙方制定的服务管理方案；</w:t>
      </w:r>
    </w:p>
    <w:p w14:paraId="59AD2A9E">
      <w:pPr>
        <w:spacing w:line="400" w:lineRule="exact"/>
        <w:ind w:firstLine="470"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4．检查监督乙方管理工作的执行情况；</w:t>
      </w:r>
    </w:p>
    <w:p w14:paraId="6348D3E0">
      <w:pPr>
        <w:spacing w:line="400" w:lineRule="exact"/>
        <w:ind w:firstLine="470"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5．审议乙方年度管理计划、资金使用计划及决算报告；</w:t>
      </w:r>
    </w:p>
    <w:p w14:paraId="7BF52877">
      <w:pPr>
        <w:spacing w:line="400" w:lineRule="exact"/>
        <w:ind w:firstLine="470"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6．在合同生效后根据乙方工作需求，向乙方提供办公用房（产权仍属甲方）；</w:t>
      </w:r>
    </w:p>
    <w:p w14:paraId="071E533F">
      <w:pPr>
        <w:spacing w:line="400" w:lineRule="exact"/>
        <w:ind w:firstLine="470"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7．负责归集服务管理所需全部图纸、档案、资料，并于合同生效之日起日内向乙方提供；</w:t>
      </w:r>
    </w:p>
    <w:p w14:paraId="316C4EA9">
      <w:pPr>
        <w:spacing w:line="400" w:lineRule="exact"/>
        <w:ind w:firstLine="470"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8．协调、处理本合同生效前发生的管理遗留问题；</w:t>
      </w:r>
    </w:p>
    <w:p w14:paraId="23127AC5">
      <w:pPr>
        <w:spacing w:line="400" w:lineRule="exact"/>
        <w:ind w:firstLine="470"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9．协助乙方做好服务管理工作和宣传教育；</w:t>
      </w:r>
    </w:p>
    <w:p w14:paraId="16FC9516">
      <w:pPr>
        <w:spacing w:line="400" w:lineRule="exact"/>
        <w:ind w:firstLine="470"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10．甲方可以随时抽查乙方工作计划完成情况及记录资料。</w:t>
      </w:r>
    </w:p>
    <w:p w14:paraId="72F02556">
      <w:pPr>
        <w:spacing w:line="400" w:lineRule="exact"/>
        <w:ind w:firstLine="472"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 xml:space="preserve">第十一条 </w:t>
      </w:r>
      <w:r>
        <w:rPr>
          <w:rFonts w:hint="eastAsia" w:ascii="仿宋" w:hAnsi="仿宋" w:eastAsia="仿宋" w:cs="仿宋"/>
          <w:bCs/>
          <w:color w:val="000000" w:themeColor="text1"/>
          <w:sz w:val="24"/>
          <w:highlight w:val="none"/>
          <w14:textFill>
            <w14:solidFill>
              <w14:schemeClr w14:val="tx1"/>
            </w14:solidFill>
          </w14:textFill>
        </w:rPr>
        <w:t>乙方权利义务</w:t>
      </w:r>
    </w:p>
    <w:p w14:paraId="01D544DD">
      <w:pPr>
        <w:spacing w:line="400" w:lineRule="exact"/>
        <w:ind w:firstLine="470"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1．根据有关法律、法规及本合同的约定，制定服务管理方案；</w:t>
      </w:r>
    </w:p>
    <w:p w14:paraId="6DBF860F">
      <w:pPr>
        <w:spacing w:line="400" w:lineRule="exact"/>
        <w:ind w:firstLine="470"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2．对乙方违反法规、规章的行为，提请有关部门处理；</w:t>
      </w:r>
    </w:p>
    <w:p w14:paraId="6786DAFF">
      <w:pPr>
        <w:spacing w:line="400" w:lineRule="exact"/>
        <w:ind w:firstLine="470"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3．对上岗人员按规定进行岗位培训，并对上岗人员定期进行职业道德，操作技能即礼貌礼节等相关培训，端正服务态度，提高服务质量，遵守各项规章制度及工作规范，维护学校形象；</w:t>
      </w:r>
    </w:p>
    <w:p w14:paraId="3B8C489F">
      <w:pPr>
        <w:spacing w:line="400" w:lineRule="exact"/>
        <w:ind w:firstLine="470"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4．负责编制年度服务计划，经双方议定后由乙方组织实施；</w:t>
      </w:r>
    </w:p>
    <w:p w14:paraId="0FCAC964">
      <w:pPr>
        <w:spacing w:line="400" w:lineRule="exact"/>
        <w:ind w:firstLine="470"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5．乙方服从学校相关规定，并接受甲方监督；</w:t>
      </w:r>
    </w:p>
    <w:p w14:paraId="719CBBB2">
      <w:pPr>
        <w:spacing w:line="400" w:lineRule="exact"/>
        <w:ind w:firstLine="470"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6．每次向甲方公布一次维修养护费用收支使用情况；</w:t>
      </w:r>
    </w:p>
    <w:p w14:paraId="24D9889D">
      <w:pPr>
        <w:spacing w:line="400" w:lineRule="exact"/>
        <w:ind w:firstLine="470"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7．对本项目的公共设施不得擅自占用和改变使用功能，如需扩建或完善配套项目，须与甲方协商后报有关部门批准方可实施；</w:t>
      </w:r>
    </w:p>
    <w:p w14:paraId="485AA6B5">
      <w:pPr>
        <w:spacing w:line="400" w:lineRule="exact"/>
        <w:ind w:firstLine="470"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8．本合同终止时，乙方必须向甲方移交全部办公用房及服务管理的全部档案资料；</w:t>
      </w:r>
    </w:p>
    <w:p w14:paraId="58BA4605">
      <w:pPr>
        <w:spacing w:line="400" w:lineRule="exact"/>
        <w:ind w:firstLine="470"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9．乙方应本着节约原则，杜绝浪费；</w:t>
      </w:r>
    </w:p>
    <w:p w14:paraId="7D1D069A">
      <w:pPr>
        <w:spacing w:line="400" w:lineRule="exact"/>
        <w:ind w:firstLine="470"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10．甲方交给乙方的资料等不得作为他用，否则，将追究其法律、经济责任；</w:t>
      </w:r>
    </w:p>
    <w:p w14:paraId="5D934B83">
      <w:pPr>
        <w:spacing w:line="400" w:lineRule="exact"/>
        <w:ind w:firstLine="470"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11．乙方自行解决住宿问题；</w:t>
      </w:r>
    </w:p>
    <w:p w14:paraId="77053F0A">
      <w:pPr>
        <w:spacing w:line="400" w:lineRule="exact"/>
        <w:ind w:firstLine="470"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12．乙方所有人员在岗期间发生的人身安全及自身突发状况均由乙方负责；</w:t>
      </w:r>
    </w:p>
    <w:p w14:paraId="1F505FD7">
      <w:pPr>
        <w:spacing w:line="400" w:lineRule="exact"/>
        <w:ind w:firstLine="470"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13．乙方为所有服务期内的在岗人员缴纳人身安全保险。</w:t>
      </w:r>
    </w:p>
    <w:p w14:paraId="697982A9">
      <w:pPr>
        <w:pStyle w:val="2"/>
        <w:ind w:firstLine="480" w:firstLineChars="200"/>
        <w:rPr>
          <w:rFonts w:eastAsia="仿宋"/>
          <w:highlight w:val="none"/>
        </w:rPr>
      </w:pPr>
      <w:r>
        <w:rPr>
          <w:rFonts w:hint="eastAsia" w:ascii="仿宋" w:hAnsi="仿宋" w:eastAsia="仿宋" w:cs="仿宋"/>
          <w:bCs/>
          <w:color w:val="000000" w:themeColor="text1"/>
          <w:sz w:val="24"/>
          <w:highlight w:val="none"/>
          <w14:textFill>
            <w14:solidFill>
              <w14:schemeClr w14:val="tx1"/>
            </w14:solidFill>
          </w14:textFill>
        </w:rPr>
        <w:t>14．物业乙方不得出现舆情及员工罢工等影响教育教学的情况。</w:t>
      </w:r>
    </w:p>
    <w:p w14:paraId="75967923">
      <w:pPr>
        <w:spacing w:line="400" w:lineRule="exact"/>
        <w:ind w:firstLine="472" w:firstLineChars="196"/>
        <w:jc w:val="center"/>
        <w:rPr>
          <w:rFonts w:ascii="仿宋" w:hAnsi="仿宋" w:eastAsia="仿宋" w:cs="仿宋"/>
          <w:b/>
          <w:bCs/>
          <w:color w:val="000000" w:themeColor="text1"/>
          <w:sz w:val="24"/>
          <w:highlight w:val="none"/>
          <w14:textFill>
            <w14:solidFill>
              <w14:schemeClr w14:val="tx1"/>
            </w14:solidFill>
          </w14:textFill>
        </w:rPr>
      </w:pPr>
      <w:r>
        <w:rPr>
          <w:rFonts w:hint="eastAsia" w:ascii="仿宋" w:hAnsi="仿宋" w:eastAsia="仿宋" w:cs="仿宋"/>
          <w:b/>
          <w:bCs/>
          <w:color w:val="000000" w:themeColor="text1"/>
          <w:sz w:val="24"/>
          <w:highlight w:val="none"/>
          <w14:textFill>
            <w14:solidFill>
              <w14:schemeClr w14:val="tx1"/>
            </w14:solidFill>
          </w14:textFill>
        </w:rPr>
        <w:t>第八章 违约责任</w:t>
      </w:r>
    </w:p>
    <w:p w14:paraId="28B23B90">
      <w:pPr>
        <w:spacing w:line="400" w:lineRule="exact"/>
        <w:ind w:firstLine="472"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第十二条</w:t>
      </w:r>
      <w:r>
        <w:rPr>
          <w:rFonts w:hint="eastAsia" w:ascii="仿宋" w:hAnsi="仿宋" w:eastAsia="仿宋" w:cs="仿宋"/>
          <w:bCs/>
          <w:color w:val="000000" w:themeColor="text1"/>
          <w:sz w:val="24"/>
          <w:highlight w:val="none"/>
          <w14:textFill>
            <w14:solidFill>
              <w14:schemeClr w14:val="tx1"/>
            </w14:solidFill>
          </w14:textFill>
        </w:rPr>
        <w:t xml:space="preserve"> 因甲方原因使乙方未完成规定管理目标，乙方有权要求甲方在不定期限内解决，逾期未解决的乙方有权终止合同。</w:t>
      </w:r>
    </w:p>
    <w:p w14:paraId="58A3C2ED">
      <w:pPr>
        <w:spacing w:line="400" w:lineRule="exact"/>
        <w:ind w:firstLine="472"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第十三条</w:t>
      </w:r>
      <w:r>
        <w:rPr>
          <w:rFonts w:hint="eastAsia" w:ascii="仿宋" w:hAnsi="仿宋" w:eastAsia="仿宋" w:cs="仿宋"/>
          <w:bCs/>
          <w:color w:val="000000" w:themeColor="text1"/>
          <w:sz w:val="24"/>
          <w:highlight w:val="none"/>
          <w14:textFill>
            <w14:solidFill>
              <w14:schemeClr w14:val="tx1"/>
            </w14:solidFill>
          </w14:textFill>
        </w:rPr>
        <w:t>乙方不能按照管理制度完成管理目标，甲方有权要求乙方限期整改，逾期未整改的，每逾 1 日甲方将扣除乙方 500 元的违约金，并在当月管理服务费用中扣除；且因此造成甲方经济损失，由乙方承担；情形严重时，甲方有权终止合同。</w:t>
      </w:r>
    </w:p>
    <w:p w14:paraId="1D79E01B">
      <w:pPr>
        <w:spacing w:line="400" w:lineRule="exact"/>
        <w:ind w:firstLine="470"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乙方应制定质量保证体系，切实做好项目管理服务工作，乙方所属人员必须各尽其职，保证符合各项工作质量要求，如安排不当、人员不能到位影响正常工作的，每次违例按 500 元/次给予经济处罚，并在当月管理服务费用中扣除。</w:t>
      </w:r>
    </w:p>
    <w:p w14:paraId="679735C3">
      <w:pPr>
        <w:spacing w:line="400" w:lineRule="exact"/>
        <w:ind w:firstLine="472"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第十四条</w:t>
      </w:r>
      <w:r>
        <w:rPr>
          <w:rFonts w:hint="eastAsia" w:ascii="仿宋" w:hAnsi="仿宋" w:eastAsia="仿宋" w:cs="仿宋"/>
          <w:bCs/>
          <w:color w:val="000000" w:themeColor="text1"/>
          <w:sz w:val="24"/>
          <w:highlight w:val="none"/>
          <w14:textFill>
            <w14:solidFill>
              <w14:schemeClr w14:val="tx1"/>
            </w14:solidFill>
          </w14:textFill>
        </w:rPr>
        <w:t xml:space="preserve"> 甲方对乙方提供的服务管理工作进行质量检查、考核。对工作表现差的员工提出更换（包括项目内各级管理员和员工），乙方须于及时调换人员。项目经理必须服从采购单位提出的合理要求。</w:t>
      </w:r>
    </w:p>
    <w:p w14:paraId="2EF65E65">
      <w:pPr>
        <w:spacing w:line="400" w:lineRule="exact"/>
        <w:ind w:firstLine="472"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第十五条</w:t>
      </w:r>
      <w:r>
        <w:rPr>
          <w:rFonts w:hint="eastAsia" w:ascii="仿宋" w:hAnsi="仿宋" w:eastAsia="仿宋" w:cs="仿宋"/>
          <w:bCs/>
          <w:color w:val="000000" w:themeColor="text1"/>
          <w:sz w:val="24"/>
          <w:highlight w:val="none"/>
          <w14:textFill>
            <w14:solidFill>
              <w14:schemeClr w14:val="tx1"/>
            </w14:solidFill>
          </w14:textFill>
        </w:rPr>
        <w:t xml:space="preserve"> 因乙方服务管理出现的停水、停电问题，每次恢复正常时间不得超过30 分钟，若超出规定时间，甲方有权以每次 1000 元的标准向乙方收取违约金，并在当月管理服务费用中扣除。</w:t>
      </w:r>
    </w:p>
    <w:p w14:paraId="3C901964">
      <w:pPr>
        <w:spacing w:line="400" w:lineRule="exact"/>
        <w:ind w:firstLine="472"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第十六条</w:t>
      </w:r>
      <w:r>
        <w:rPr>
          <w:rFonts w:hint="eastAsia" w:ascii="仿宋" w:hAnsi="仿宋" w:eastAsia="仿宋" w:cs="仿宋"/>
          <w:bCs/>
          <w:color w:val="000000" w:themeColor="text1"/>
          <w:sz w:val="24"/>
          <w:highlight w:val="none"/>
          <w14:textFill>
            <w14:solidFill>
              <w14:schemeClr w14:val="tx1"/>
            </w14:solidFill>
          </w14:textFill>
        </w:rPr>
        <w:t xml:space="preserve"> 甲乙双方任何一方无法律依据提前终止合同的违约方应赔偿对方项目总额 5‰的违约金；造成对方经济损失的，应给予经济赔偿。</w:t>
      </w:r>
    </w:p>
    <w:p w14:paraId="7F2ADCDA">
      <w:pPr>
        <w:spacing w:line="400" w:lineRule="exact"/>
        <w:ind w:firstLine="472" w:firstLineChars="196"/>
        <w:jc w:val="center"/>
        <w:rPr>
          <w:rFonts w:ascii="仿宋" w:hAnsi="仿宋" w:eastAsia="仿宋" w:cs="仿宋"/>
          <w:b/>
          <w:bCs/>
          <w:color w:val="000000" w:themeColor="text1"/>
          <w:sz w:val="24"/>
          <w:highlight w:val="none"/>
          <w14:textFill>
            <w14:solidFill>
              <w14:schemeClr w14:val="tx1"/>
            </w14:solidFill>
          </w14:textFill>
        </w:rPr>
      </w:pPr>
      <w:r>
        <w:rPr>
          <w:rFonts w:hint="eastAsia" w:ascii="仿宋" w:hAnsi="仿宋" w:eastAsia="仿宋" w:cs="仿宋"/>
          <w:b/>
          <w:bCs/>
          <w:color w:val="000000" w:themeColor="text1"/>
          <w:sz w:val="24"/>
          <w:highlight w:val="none"/>
          <w14:textFill>
            <w14:solidFill>
              <w14:schemeClr w14:val="tx1"/>
            </w14:solidFill>
          </w14:textFill>
        </w:rPr>
        <w:t>第九章 附则</w:t>
      </w:r>
    </w:p>
    <w:p w14:paraId="2A679AFF">
      <w:pPr>
        <w:spacing w:line="400" w:lineRule="exact"/>
        <w:ind w:firstLine="472"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第十七条</w:t>
      </w:r>
      <w:r>
        <w:rPr>
          <w:rFonts w:ascii="仿宋" w:hAnsi="仿宋" w:eastAsia="仿宋" w:cs="仿宋"/>
          <w:bCs/>
          <w:color w:val="000000" w:themeColor="text1"/>
          <w:sz w:val="24"/>
          <w:highlight w:val="none"/>
          <w14:textFill>
            <w14:solidFill>
              <w14:schemeClr w14:val="tx1"/>
            </w14:solidFill>
          </w14:textFill>
        </w:rPr>
        <w:t xml:space="preserve"> </w:t>
      </w:r>
      <w:r>
        <w:rPr>
          <w:rFonts w:hint="eastAsia" w:ascii="仿宋" w:hAnsi="仿宋" w:eastAsia="仿宋" w:cs="仿宋"/>
          <w:bCs/>
          <w:color w:val="000000" w:themeColor="text1"/>
          <w:sz w:val="24"/>
          <w:highlight w:val="none"/>
          <w14:textFill>
            <w14:solidFill>
              <w14:schemeClr w14:val="tx1"/>
            </w14:solidFill>
          </w14:textFill>
        </w:rPr>
        <w:t>双方约定自本合同生效之日起 3 天内，根据甲方委托管理事项，办理接管验收手续。</w:t>
      </w:r>
    </w:p>
    <w:p w14:paraId="63B1EF98">
      <w:pPr>
        <w:spacing w:line="400" w:lineRule="exact"/>
        <w:ind w:firstLine="472"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第十八条</w:t>
      </w:r>
      <w:r>
        <w:rPr>
          <w:rFonts w:ascii="仿宋" w:hAnsi="仿宋" w:eastAsia="仿宋" w:cs="仿宋"/>
          <w:bCs/>
          <w:color w:val="000000" w:themeColor="text1"/>
          <w:sz w:val="24"/>
          <w:highlight w:val="none"/>
          <w14:textFill>
            <w14:solidFill>
              <w14:schemeClr w14:val="tx1"/>
            </w14:solidFill>
          </w14:textFill>
        </w:rPr>
        <w:t xml:space="preserve"> </w:t>
      </w:r>
      <w:r>
        <w:rPr>
          <w:rFonts w:hint="eastAsia" w:ascii="仿宋" w:hAnsi="仿宋" w:eastAsia="仿宋" w:cs="仿宋"/>
          <w:bCs/>
          <w:color w:val="000000" w:themeColor="text1"/>
          <w:sz w:val="24"/>
          <w:highlight w:val="none"/>
          <w14:textFill>
            <w14:solidFill>
              <w14:schemeClr w14:val="tx1"/>
            </w14:solidFill>
          </w14:textFill>
        </w:rPr>
        <w:t>双方可对本合同的条款进行补充，以书面形式签订补充协议，补充协议与合同具有相同等效力。</w:t>
      </w:r>
    </w:p>
    <w:p w14:paraId="3C417495">
      <w:pPr>
        <w:spacing w:line="400" w:lineRule="exact"/>
        <w:ind w:firstLine="472"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第十九条</w:t>
      </w:r>
      <w:r>
        <w:rPr>
          <w:rFonts w:ascii="仿宋" w:hAnsi="仿宋" w:eastAsia="仿宋" w:cs="仿宋"/>
          <w:bCs/>
          <w:color w:val="000000" w:themeColor="text1"/>
          <w:sz w:val="24"/>
          <w:highlight w:val="none"/>
          <w14:textFill>
            <w14:solidFill>
              <w14:schemeClr w14:val="tx1"/>
            </w14:solidFill>
          </w14:textFill>
        </w:rPr>
        <w:t xml:space="preserve"> </w:t>
      </w:r>
      <w:r>
        <w:rPr>
          <w:rFonts w:hint="eastAsia" w:ascii="仿宋" w:hAnsi="仿宋" w:eastAsia="仿宋" w:cs="仿宋"/>
          <w:bCs/>
          <w:color w:val="000000" w:themeColor="text1"/>
          <w:sz w:val="24"/>
          <w:highlight w:val="none"/>
          <w14:textFill>
            <w14:solidFill>
              <w14:schemeClr w14:val="tx1"/>
            </w14:solidFill>
          </w14:textFill>
        </w:rPr>
        <w:t>本合同之附件均为合同有效组成部分。在合同及其附件内，空格部分填写的文字与印刷文字具有同等效力，但不得修改本合同印制条款的本意。</w:t>
      </w:r>
    </w:p>
    <w:p w14:paraId="36225437">
      <w:pPr>
        <w:spacing w:line="400" w:lineRule="exact"/>
        <w:ind w:firstLine="470"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本合同及其附件和补充协议中未规定的事宜，均遵照中华人民共和国有关法律、法规和规章执行。</w:t>
      </w:r>
    </w:p>
    <w:p w14:paraId="5E05A4E2">
      <w:pPr>
        <w:spacing w:line="400" w:lineRule="exact"/>
        <w:ind w:firstLine="472"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第二十条</w:t>
      </w:r>
      <w:r>
        <w:rPr>
          <w:rFonts w:hint="eastAsia" w:ascii="仿宋" w:hAnsi="仿宋" w:eastAsia="仿宋" w:cs="仿宋"/>
          <w:bCs/>
          <w:color w:val="000000" w:themeColor="text1"/>
          <w:sz w:val="24"/>
          <w:highlight w:val="none"/>
          <w14:textFill>
            <w14:solidFill>
              <w14:schemeClr w14:val="tx1"/>
            </w14:solidFill>
          </w14:textFill>
        </w:rPr>
        <w:t xml:space="preserve"> 本合同正本连同附件页，一式</w:t>
      </w:r>
      <w:r>
        <w:rPr>
          <w:rFonts w:hint="eastAsia" w:ascii="仿宋" w:hAnsi="仿宋" w:eastAsia="仿宋" w:cs="仿宋"/>
          <w:bCs/>
          <w:color w:val="000000" w:themeColor="text1"/>
          <w:sz w:val="24"/>
          <w:highlight w:val="none"/>
          <w:u w:val="single"/>
          <w14:textFill>
            <w14:solidFill>
              <w14:schemeClr w14:val="tx1"/>
            </w14:solidFill>
          </w14:textFill>
        </w:rPr>
        <w:t>陆</w:t>
      </w:r>
      <w:r>
        <w:rPr>
          <w:rFonts w:hint="eastAsia" w:ascii="仿宋" w:hAnsi="仿宋" w:eastAsia="仿宋" w:cs="仿宋"/>
          <w:bCs/>
          <w:color w:val="000000" w:themeColor="text1"/>
          <w:sz w:val="24"/>
          <w:highlight w:val="none"/>
          <w14:textFill>
            <w14:solidFill>
              <w14:schemeClr w14:val="tx1"/>
            </w14:solidFill>
          </w14:textFill>
        </w:rPr>
        <w:t>份，甲乙双方及各执</w:t>
      </w:r>
      <w:r>
        <w:rPr>
          <w:rFonts w:hint="eastAsia" w:ascii="仿宋" w:hAnsi="仿宋" w:eastAsia="仿宋" w:cs="仿宋"/>
          <w:bCs/>
          <w:color w:val="000000" w:themeColor="text1"/>
          <w:sz w:val="24"/>
          <w:highlight w:val="none"/>
          <w:u w:val="single"/>
          <w14:textFill>
            <w14:solidFill>
              <w14:schemeClr w14:val="tx1"/>
            </w14:solidFill>
          </w14:textFill>
        </w:rPr>
        <w:t xml:space="preserve"> 叁</w:t>
      </w:r>
      <w:r>
        <w:rPr>
          <w:rFonts w:hint="eastAsia" w:ascii="仿宋" w:hAnsi="仿宋" w:eastAsia="仿宋" w:cs="仿宋"/>
          <w:bCs/>
          <w:color w:val="000000" w:themeColor="text1"/>
          <w:sz w:val="24"/>
          <w:highlight w:val="none"/>
          <w14:textFill>
            <w14:solidFill>
              <w14:schemeClr w14:val="tx1"/>
            </w14:solidFill>
          </w14:textFill>
        </w:rPr>
        <w:t>份，具有同等法律效力。</w:t>
      </w:r>
    </w:p>
    <w:p w14:paraId="19936951">
      <w:pPr>
        <w:spacing w:line="400" w:lineRule="exact"/>
        <w:ind w:firstLine="472"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第二十一条</w:t>
      </w:r>
      <w:r>
        <w:rPr>
          <w:rFonts w:hint="eastAsia" w:ascii="仿宋" w:hAnsi="仿宋" w:eastAsia="仿宋" w:cs="仿宋"/>
          <w:bCs/>
          <w:color w:val="000000" w:themeColor="text1"/>
          <w:sz w:val="24"/>
          <w:highlight w:val="none"/>
          <w14:textFill>
            <w14:solidFill>
              <w14:schemeClr w14:val="tx1"/>
            </w14:solidFill>
          </w14:textFill>
        </w:rPr>
        <w:tab/>
      </w:r>
      <w:r>
        <w:rPr>
          <w:rFonts w:hint="eastAsia" w:ascii="仿宋" w:hAnsi="仿宋" w:eastAsia="仿宋" w:cs="仿宋"/>
          <w:bCs/>
          <w:color w:val="000000" w:themeColor="text1"/>
          <w:sz w:val="24"/>
          <w:highlight w:val="none"/>
          <w14:textFill>
            <w14:solidFill>
              <w14:schemeClr w14:val="tx1"/>
            </w14:solidFill>
          </w14:textFill>
        </w:rPr>
        <w:t xml:space="preserve"> 本合同执行期间，如遇不可抗力，致使合同无法履行时，双方应按有关法律规定及时协商处理。</w:t>
      </w:r>
    </w:p>
    <w:p w14:paraId="473BFB87">
      <w:pPr>
        <w:spacing w:line="400" w:lineRule="exact"/>
        <w:ind w:firstLine="472"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第二十二条</w:t>
      </w:r>
      <w:r>
        <w:rPr>
          <w:rFonts w:hint="eastAsia" w:ascii="仿宋" w:hAnsi="仿宋" w:eastAsia="仿宋" w:cs="仿宋"/>
          <w:bCs/>
          <w:color w:val="000000" w:themeColor="text1"/>
          <w:sz w:val="24"/>
          <w:highlight w:val="none"/>
          <w14:textFill>
            <w14:solidFill>
              <w14:schemeClr w14:val="tx1"/>
            </w14:solidFill>
          </w14:textFill>
        </w:rPr>
        <w:t xml:space="preserve"> 本合同在履行中如发生争议，双方应协商解决，协商不成时，协商不成，任何一方均可向甲方所在地人民法院起诉。</w:t>
      </w:r>
    </w:p>
    <w:p w14:paraId="632D3F3C">
      <w:pPr>
        <w:spacing w:line="400" w:lineRule="exact"/>
        <w:ind w:firstLine="472"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第二十三条</w:t>
      </w:r>
      <w:r>
        <w:rPr>
          <w:rFonts w:hint="eastAsia" w:ascii="仿宋" w:hAnsi="仿宋" w:eastAsia="仿宋" w:cs="仿宋"/>
          <w:bCs/>
          <w:color w:val="000000" w:themeColor="text1"/>
          <w:sz w:val="24"/>
          <w:highlight w:val="none"/>
          <w14:textFill>
            <w14:solidFill>
              <w14:schemeClr w14:val="tx1"/>
            </w14:solidFill>
          </w14:textFill>
        </w:rPr>
        <w:t xml:space="preserve"> 合同期满，本合同自然终止，双方如续订合同，应在该事同期满天前向对方提出书面意见。</w:t>
      </w:r>
    </w:p>
    <w:p w14:paraId="59DFCECA">
      <w:pPr>
        <w:spacing w:line="400" w:lineRule="exact"/>
        <w:ind w:firstLine="472"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 xml:space="preserve">第二十四条 </w:t>
      </w:r>
      <w:r>
        <w:rPr>
          <w:rFonts w:hint="eastAsia" w:ascii="仿宋" w:hAnsi="仿宋" w:eastAsia="仿宋" w:cs="仿宋"/>
          <w:bCs/>
          <w:color w:val="000000" w:themeColor="text1"/>
          <w:sz w:val="24"/>
          <w:highlight w:val="none"/>
          <w14:textFill>
            <w14:solidFill>
              <w14:schemeClr w14:val="tx1"/>
            </w14:solidFill>
          </w14:textFill>
        </w:rPr>
        <w:t>合同组成</w:t>
      </w:r>
    </w:p>
    <w:p w14:paraId="7A0D0E18">
      <w:pPr>
        <w:spacing w:line="400" w:lineRule="exact"/>
        <w:ind w:firstLine="470"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1、成交通知书</w:t>
      </w:r>
    </w:p>
    <w:p w14:paraId="61E2B271">
      <w:pPr>
        <w:spacing w:line="400" w:lineRule="exact"/>
        <w:ind w:firstLine="470"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2、合同文件</w:t>
      </w:r>
    </w:p>
    <w:p w14:paraId="50E47F7A">
      <w:pPr>
        <w:spacing w:line="400" w:lineRule="exact"/>
        <w:ind w:firstLine="470"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3、国家相关规范及标准</w:t>
      </w:r>
    </w:p>
    <w:p w14:paraId="68FB50C5">
      <w:pPr>
        <w:spacing w:line="400" w:lineRule="exact"/>
        <w:ind w:firstLine="470"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4、磋商文件</w:t>
      </w:r>
    </w:p>
    <w:p w14:paraId="0C569386">
      <w:pPr>
        <w:spacing w:line="400" w:lineRule="exact"/>
        <w:ind w:firstLine="470"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5、响应文件</w:t>
      </w:r>
    </w:p>
    <w:p w14:paraId="70663C1E">
      <w:pPr>
        <w:spacing w:line="400" w:lineRule="exact"/>
        <w:ind w:firstLine="472"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第二十五条</w:t>
      </w:r>
      <w:r>
        <w:rPr>
          <w:rFonts w:hint="eastAsia" w:ascii="仿宋" w:hAnsi="仿宋" w:eastAsia="仿宋" w:cs="仿宋"/>
          <w:bCs/>
          <w:color w:val="000000" w:themeColor="text1"/>
          <w:sz w:val="24"/>
          <w:highlight w:val="none"/>
          <w14:textFill>
            <w14:solidFill>
              <w14:schemeClr w14:val="tx1"/>
            </w14:solidFill>
          </w14:textFill>
        </w:rPr>
        <w:t xml:space="preserve"> 合同生效及其它</w:t>
      </w:r>
    </w:p>
    <w:p w14:paraId="1D1D2CD5">
      <w:pPr>
        <w:spacing w:line="400" w:lineRule="exact"/>
        <w:ind w:firstLine="470"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1、本合同未尽事宜，按法律、法规及有关规定协商处理。</w:t>
      </w:r>
    </w:p>
    <w:p w14:paraId="034DAA72">
      <w:pPr>
        <w:spacing w:line="400" w:lineRule="exact"/>
        <w:ind w:firstLine="470"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2、本合同经甲乙双方签字并加盖公章（或合同专用章）后生效。</w:t>
      </w:r>
    </w:p>
    <w:p w14:paraId="55907A54">
      <w:pPr>
        <w:spacing w:line="400" w:lineRule="exact"/>
        <w:ind w:firstLine="470" w:firstLineChars="196"/>
        <w:rPr>
          <w:rFonts w:ascii="仿宋" w:hAnsi="仿宋" w:eastAsia="仿宋" w:cs="仿宋"/>
          <w:bCs/>
          <w:color w:val="000000" w:themeColor="text1"/>
          <w:sz w:val="24"/>
          <w:highlight w:val="none"/>
          <w14:textFill>
            <w14:solidFill>
              <w14:schemeClr w14:val="tx1"/>
            </w14:solidFill>
          </w14:textFill>
        </w:rPr>
      </w:pPr>
    </w:p>
    <w:p w14:paraId="22B1DB16">
      <w:pPr>
        <w:spacing w:line="400" w:lineRule="exact"/>
        <w:ind w:firstLine="470" w:firstLineChars="196"/>
        <w:rPr>
          <w:rFonts w:ascii="仿宋" w:hAnsi="仿宋" w:eastAsia="仿宋" w:cs="仿宋"/>
          <w:bCs/>
          <w:color w:val="000000" w:themeColor="text1"/>
          <w:sz w:val="24"/>
          <w:highlight w:val="none"/>
          <w14:textFill>
            <w14:solidFill>
              <w14:schemeClr w14:val="tx1"/>
            </w14:solidFill>
          </w14:textFill>
        </w:rPr>
      </w:pPr>
    </w:p>
    <w:p w14:paraId="1C2E9B0F">
      <w:pPr>
        <w:spacing w:line="400" w:lineRule="exact"/>
        <w:ind w:left="6481" w:leftChars="228" w:hanging="6002" w:hangingChars="2501"/>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 xml:space="preserve">甲方（盖章）: </w:t>
      </w:r>
      <w:r>
        <w:rPr>
          <w:rFonts w:hint="eastAsia" w:ascii="仿宋" w:hAnsi="仿宋" w:eastAsia="仿宋" w:cs="仿宋"/>
          <w:bCs/>
          <w:color w:val="000000" w:themeColor="text1"/>
          <w:sz w:val="24"/>
          <w:highlight w:val="none"/>
          <w:lang w:eastAsia="zh-CN"/>
          <w14:textFill>
            <w14:solidFill>
              <w14:schemeClr w14:val="tx1"/>
            </w14:solidFill>
          </w14:textFill>
        </w:rPr>
        <w:t>西安航天城第十一小学</w:t>
      </w:r>
      <w:r>
        <w:rPr>
          <w:rFonts w:hint="eastAsia" w:ascii="仿宋" w:hAnsi="仿宋" w:eastAsia="仿宋" w:cs="仿宋"/>
          <w:bCs/>
          <w:color w:val="000000" w:themeColor="text1"/>
          <w:sz w:val="24"/>
          <w:highlight w:val="none"/>
          <w14:textFill>
            <w14:solidFill>
              <w14:schemeClr w14:val="tx1"/>
            </w14:solidFill>
          </w14:textFill>
        </w:rPr>
        <w:t xml:space="preserve">     乙方(盖章):</w:t>
      </w:r>
    </w:p>
    <w:p w14:paraId="42FF4D8A">
      <w:pPr>
        <w:spacing w:line="400" w:lineRule="exact"/>
        <w:ind w:left="726" w:leftChars="228" w:hanging="247" w:hangingChars="103"/>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 xml:space="preserve">法定代表人或授权代表人(签字):       法定代表人或授权代表人(签字): </w:t>
      </w:r>
    </w:p>
    <w:p w14:paraId="574E7EB9">
      <w:pPr>
        <w:ind w:left="5279" w:leftChars="228" w:hanging="4800" w:hangingChars="2000"/>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地址：                              地址：</w:t>
      </w:r>
    </w:p>
    <w:p w14:paraId="79606601">
      <w:pPr>
        <w:spacing w:line="400" w:lineRule="exact"/>
        <w:ind w:firstLine="470"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联系人：                            联系人：</w:t>
      </w:r>
    </w:p>
    <w:p w14:paraId="02363CA9">
      <w:pPr>
        <w:spacing w:line="400" w:lineRule="exact"/>
        <w:ind w:firstLine="470"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联系电话：                          联系电话：</w:t>
      </w:r>
    </w:p>
    <w:p w14:paraId="75C1E274">
      <w:pPr>
        <w:spacing w:line="400" w:lineRule="exact"/>
        <w:ind w:firstLine="470"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电子邮箱：                          电子邮箱：</w:t>
      </w:r>
    </w:p>
    <w:p w14:paraId="2A196BCA">
      <w:pPr>
        <w:spacing w:line="400" w:lineRule="exact"/>
        <w:ind w:firstLine="470" w:firstLineChars="196"/>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 xml:space="preserve">日期： </w:t>
      </w:r>
      <w:r>
        <w:rPr>
          <w:rFonts w:hint="eastAsia" w:ascii="仿宋" w:hAnsi="仿宋" w:eastAsia="仿宋" w:cs="仿宋"/>
          <w:bCs/>
          <w:color w:val="000000" w:themeColor="text1"/>
          <w:sz w:val="24"/>
          <w:highlight w:val="none"/>
          <w14:textFill>
            <w14:solidFill>
              <w14:schemeClr w14:val="tx1"/>
            </w14:solidFill>
          </w14:textFill>
        </w:rPr>
        <w:tab/>
      </w:r>
      <w:r>
        <w:rPr>
          <w:rFonts w:hint="eastAsia" w:ascii="仿宋" w:hAnsi="仿宋" w:eastAsia="仿宋" w:cs="仿宋"/>
          <w:bCs/>
          <w:color w:val="000000" w:themeColor="text1"/>
          <w:sz w:val="24"/>
          <w:highlight w:val="none"/>
          <w14:textFill>
            <w14:solidFill>
              <w14:schemeClr w14:val="tx1"/>
            </w14:solidFill>
          </w14:textFill>
        </w:rPr>
        <w:t xml:space="preserve">年 </w:t>
      </w:r>
      <w:r>
        <w:rPr>
          <w:rFonts w:hint="eastAsia" w:ascii="仿宋" w:hAnsi="仿宋" w:eastAsia="仿宋" w:cs="仿宋"/>
          <w:bCs/>
          <w:color w:val="000000" w:themeColor="text1"/>
          <w:sz w:val="24"/>
          <w:highlight w:val="none"/>
          <w14:textFill>
            <w14:solidFill>
              <w14:schemeClr w14:val="tx1"/>
            </w14:solidFill>
          </w14:textFill>
        </w:rPr>
        <w:tab/>
      </w:r>
      <w:r>
        <w:rPr>
          <w:rFonts w:hint="eastAsia" w:ascii="仿宋" w:hAnsi="仿宋" w:eastAsia="仿宋" w:cs="仿宋"/>
          <w:bCs/>
          <w:color w:val="000000" w:themeColor="text1"/>
          <w:sz w:val="24"/>
          <w:highlight w:val="none"/>
          <w14:textFill>
            <w14:solidFill>
              <w14:schemeClr w14:val="tx1"/>
            </w14:solidFill>
          </w14:textFill>
        </w:rPr>
        <w:t xml:space="preserve">月 </w:t>
      </w:r>
      <w:r>
        <w:rPr>
          <w:rFonts w:hint="eastAsia" w:ascii="仿宋" w:hAnsi="仿宋" w:eastAsia="仿宋" w:cs="仿宋"/>
          <w:bCs/>
          <w:color w:val="000000" w:themeColor="text1"/>
          <w:sz w:val="24"/>
          <w:highlight w:val="none"/>
          <w14:textFill>
            <w14:solidFill>
              <w14:schemeClr w14:val="tx1"/>
            </w14:solidFill>
          </w14:textFill>
        </w:rPr>
        <w:tab/>
      </w:r>
      <w:r>
        <w:rPr>
          <w:rFonts w:hint="eastAsia" w:ascii="仿宋" w:hAnsi="仿宋" w:eastAsia="仿宋" w:cs="仿宋"/>
          <w:bCs/>
          <w:color w:val="000000" w:themeColor="text1"/>
          <w:sz w:val="24"/>
          <w:highlight w:val="none"/>
          <w14:textFill>
            <w14:solidFill>
              <w14:schemeClr w14:val="tx1"/>
            </w14:solidFill>
          </w14:textFill>
        </w:rPr>
        <w:t>日</w:t>
      </w:r>
      <w:r>
        <w:rPr>
          <w:rFonts w:hint="eastAsia" w:ascii="仿宋" w:hAnsi="仿宋" w:eastAsia="仿宋" w:cs="仿宋"/>
          <w:bCs/>
          <w:color w:val="000000" w:themeColor="text1"/>
          <w:sz w:val="24"/>
          <w:highlight w:val="none"/>
          <w14:textFill>
            <w14:solidFill>
              <w14:schemeClr w14:val="tx1"/>
            </w14:solidFill>
          </w14:textFill>
        </w:rPr>
        <w:tab/>
      </w:r>
      <w:r>
        <w:rPr>
          <w:rFonts w:hint="eastAsia" w:ascii="仿宋" w:hAnsi="仿宋" w:eastAsia="仿宋" w:cs="仿宋"/>
          <w:bCs/>
          <w:color w:val="000000" w:themeColor="text1"/>
          <w:sz w:val="24"/>
          <w:highlight w:val="none"/>
          <w14:textFill>
            <w14:solidFill>
              <w14:schemeClr w14:val="tx1"/>
            </w14:solidFill>
          </w14:textFill>
        </w:rPr>
        <w:t xml:space="preserve">                日期： </w:t>
      </w:r>
      <w:r>
        <w:rPr>
          <w:rFonts w:hint="eastAsia" w:ascii="仿宋" w:hAnsi="仿宋" w:eastAsia="仿宋" w:cs="仿宋"/>
          <w:bCs/>
          <w:color w:val="000000" w:themeColor="text1"/>
          <w:sz w:val="24"/>
          <w:highlight w:val="none"/>
          <w14:textFill>
            <w14:solidFill>
              <w14:schemeClr w14:val="tx1"/>
            </w14:solidFill>
          </w14:textFill>
        </w:rPr>
        <w:tab/>
      </w:r>
      <w:r>
        <w:rPr>
          <w:rFonts w:hint="eastAsia" w:ascii="仿宋" w:hAnsi="仿宋" w:eastAsia="仿宋" w:cs="仿宋"/>
          <w:bCs/>
          <w:color w:val="000000" w:themeColor="text1"/>
          <w:sz w:val="24"/>
          <w:highlight w:val="none"/>
          <w14:textFill>
            <w14:solidFill>
              <w14:schemeClr w14:val="tx1"/>
            </w14:solidFill>
          </w14:textFill>
        </w:rPr>
        <w:t xml:space="preserve">年 </w:t>
      </w:r>
      <w:r>
        <w:rPr>
          <w:rFonts w:hint="eastAsia" w:ascii="仿宋" w:hAnsi="仿宋" w:eastAsia="仿宋" w:cs="仿宋"/>
          <w:bCs/>
          <w:color w:val="000000" w:themeColor="text1"/>
          <w:sz w:val="24"/>
          <w:highlight w:val="none"/>
          <w14:textFill>
            <w14:solidFill>
              <w14:schemeClr w14:val="tx1"/>
            </w14:solidFill>
          </w14:textFill>
        </w:rPr>
        <w:tab/>
      </w:r>
      <w:r>
        <w:rPr>
          <w:rFonts w:hint="eastAsia" w:ascii="仿宋" w:hAnsi="仿宋" w:eastAsia="仿宋" w:cs="仿宋"/>
          <w:bCs/>
          <w:color w:val="000000" w:themeColor="text1"/>
          <w:sz w:val="24"/>
          <w:highlight w:val="none"/>
          <w14:textFill>
            <w14:solidFill>
              <w14:schemeClr w14:val="tx1"/>
            </w14:solidFill>
          </w14:textFill>
        </w:rPr>
        <w:t xml:space="preserve">月 </w:t>
      </w:r>
      <w:r>
        <w:rPr>
          <w:rFonts w:hint="eastAsia" w:ascii="仿宋" w:hAnsi="仿宋" w:eastAsia="仿宋" w:cs="仿宋"/>
          <w:bCs/>
          <w:color w:val="000000" w:themeColor="text1"/>
          <w:sz w:val="24"/>
          <w:highlight w:val="none"/>
          <w14:textFill>
            <w14:solidFill>
              <w14:schemeClr w14:val="tx1"/>
            </w14:solidFill>
          </w14:textFill>
        </w:rPr>
        <w:tab/>
      </w:r>
      <w:r>
        <w:rPr>
          <w:rFonts w:hint="eastAsia" w:ascii="仿宋" w:hAnsi="仿宋" w:eastAsia="仿宋" w:cs="仿宋"/>
          <w:bCs/>
          <w:color w:val="000000" w:themeColor="text1"/>
          <w:sz w:val="24"/>
          <w:highlight w:val="none"/>
          <w14:textFill>
            <w14:solidFill>
              <w14:schemeClr w14:val="tx1"/>
            </w14:solidFill>
          </w14:textFill>
        </w:rPr>
        <w:t>日</w:t>
      </w:r>
    </w:p>
    <w:p w14:paraId="72A348F8">
      <w:pPr>
        <w:pStyle w:val="22"/>
        <w:spacing w:line="360" w:lineRule="auto"/>
        <w:rPr>
          <w:rFonts w:hint="eastAsia" w:ascii="仿宋" w:hAnsi="仿宋" w:eastAsia="仿宋" w:cs="仿宋"/>
          <w:sz w:val="24"/>
          <w:szCs w:val="24"/>
          <w:highlight w:val="none"/>
          <w:lang w:val="en-US" w:eastAsia="zh-Hans"/>
        </w:rPr>
      </w:pPr>
    </w:p>
    <w:p w14:paraId="63806979"/>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8744F7"/>
    <w:multiLevelType w:val="multilevel"/>
    <w:tmpl w:val="578744F7"/>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8"/>
      <w:lvlText w:val="           "/>
      <w:lvlJc w:val="left"/>
      <w:pPr>
        <w:tabs>
          <w:tab w:val="left" w:pos="1440"/>
        </w:tabs>
        <w:ind w:left="1152" w:hanging="1152"/>
      </w:pPr>
      <w:rPr>
        <w:rFonts w:hint="eastAsia"/>
      </w:rPr>
    </w:lvl>
    <w:lvl w:ilvl="6" w:tentative="0">
      <w:start w:val="1"/>
      <w:numFmt w:val="decimal"/>
      <w:pStyle w:val="9"/>
      <w:lvlText w:val="%1.%2.%3.%4.%5.%6.%7"/>
      <w:lvlJc w:val="left"/>
      <w:pPr>
        <w:tabs>
          <w:tab w:val="left" w:pos="2520"/>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殷丹">
    <w15:presenceInfo w15:providerId="None" w15:userId="殷丹"/>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551D5D"/>
    <w:rsid w:val="05306AF9"/>
    <w:rsid w:val="07001599"/>
    <w:rsid w:val="07851442"/>
    <w:rsid w:val="07A55852"/>
    <w:rsid w:val="091E1297"/>
    <w:rsid w:val="0AB64089"/>
    <w:rsid w:val="0B4121B4"/>
    <w:rsid w:val="0BD83185"/>
    <w:rsid w:val="0C6576D1"/>
    <w:rsid w:val="0D135C89"/>
    <w:rsid w:val="0D8B4292"/>
    <w:rsid w:val="0DCE1ADD"/>
    <w:rsid w:val="0E963FDB"/>
    <w:rsid w:val="0EC5559E"/>
    <w:rsid w:val="0ED17E6C"/>
    <w:rsid w:val="0F976343"/>
    <w:rsid w:val="105C0E12"/>
    <w:rsid w:val="107B1275"/>
    <w:rsid w:val="12800590"/>
    <w:rsid w:val="13033CDB"/>
    <w:rsid w:val="13150045"/>
    <w:rsid w:val="14543459"/>
    <w:rsid w:val="14861F02"/>
    <w:rsid w:val="14E52192"/>
    <w:rsid w:val="154A6DF0"/>
    <w:rsid w:val="16FE6557"/>
    <w:rsid w:val="176F6BB0"/>
    <w:rsid w:val="17D64044"/>
    <w:rsid w:val="18094FCA"/>
    <w:rsid w:val="18F64E36"/>
    <w:rsid w:val="1A02767A"/>
    <w:rsid w:val="1B9D385D"/>
    <w:rsid w:val="1BA32D63"/>
    <w:rsid w:val="1C252119"/>
    <w:rsid w:val="1CF1774B"/>
    <w:rsid w:val="1DFB7631"/>
    <w:rsid w:val="1E1E29C9"/>
    <w:rsid w:val="1EF8338A"/>
    <w:rsid w:val="1FA938F9"/>
    <w:rsid w:val="20425FFC"/>
    <w:rsid w:val="20E81997"/>
    <w:rsid w:val="21F45999"/>
    <w:rsid w:val="229A5420"/>
    <w:rsid w:val="22BD1D2C"/>
    <w:rsid w:val="22FB3A94"/>
    <w:rsid w:val="23204BF7"/>
    <w:rsid w:val="23FC12D4"/>
    <w:rsid w:val="24095576"/>
    <w:rsid w:val="24626FA6"/>
    <w:rsid w:val="249D1FF2"/>
    <w:rsid w:val="25DE2DDA"/>
    <w:rsid w:val="25E95F17"/>
    <w:rsid w:val="28C96216"/>
    <w:rsid w:val="2A15141A"/>
    <w:rsid w:val="2A230D5A"/>
    <w:rsid w:val="2B370F4B"/>
    <w:rsid w:val="2C046B0D"/>
    <w:rsid w:val="2C8E2CA3"/>
    <w:rsid w:val="2D576387"/>
    <w:rsid w:val="2D810546"/>
    <w:rsid w:val="2D9D4A5A"/>
    <w:rsid w:val="2E8C2BEA"/>
    <w:rsid w:val="2F2B785B"/>
    <w:rsid w:val="30C528D7"/>
    <w:rsid w:val="3107144D"/>
    <w:rsid w:val="32863B5F"/>
    <w:rsid w:val="33E14065"/>
    <w:rsid w:val="34F44E31"/>
    <w:rsid w:val="35181061"/>
    <w:rsid w:val="359E744D"/>
    <w:rsid w:val="36363D90"/>
    <w:rsid w:val="37011161"/>
    <w:rsid w:val="37BD6053"/>
    <w:rsid w:val="37DC5E4F"/>
    <w:rsid w:val="37F007B5"/>
    <w:rsid w:val="380C7C67"/>
    <w:rsid w:val="381713E6"/>
    <w:rsid w:val="38257707"/>
    <w:rsid w:val="38296E28"/>
    <w:rsid w:val="38561033"/>
    <w:rsid w:val="390708FB"/>
    <w:rsid w:val="391B46C0"/>
    <w:rsid w:val="39572F51"/>
    <w:rsid w:val="3A051401"/>
    <w:rsid w:val="3A311F3D"/>
    <w:rsid w:val="3A3962CE"/>
    <w:rsid w:val="3B057F4C"/>
    <w:rsid w:val="3B0770A9"/>
    <w:rsid w:val="3B292F36"/>
    <w:rsid w:val="3BF302F3"/>
    <w:rsid w:val="3C4F0C38"/>
    <w:rsid w:val="3C7A4E02"/>
    <w:rsid w:val="3C8D26A4"/>
    <w:rsid w:val="3CA904FC"/>
    <w:rsid w:val="3D2E5B71"/>
    <w:rsid w:val="3D3F603E"/>
    <w:rsid w:val="3D8F53D3"/>
    <w:rsid w:val="3E9058F4"/>
    <w:rsid w:val="3E963D77"/>
    <w:rsid w:val="3FB33E37"/>
    <w:rsid w:val="42D46393"/>
    <w:rsid w:val="44A02E0E"/>
    <w:rsid w:val="45760938"/>
    <w:rsid w:val="474B43DC"/>
    <w:rsid w:val="48273FDF"/>
    <w:rsid w:val="49740F2E"/>
    <w:rsid w:val="49DE3241"/>
    <w:rsid w:val="4A33479D"/>
    <w:rsid w:val="4B616ED2"/>
    <w:rsid w:val="4BB95F3E"/>
    <w:rsid w:val="4C9F5628"/>
    <w:rsid w:val="4D182C88"/>
    <w:rsid w:val="4D2C0602"/>
    <w:rsid w:val="4DBE6A90"/>
    <w:rsid w:val="4E5660BD"/>
    <w:rsid w:val="4E6F32AF"/>
    <w:rsid w:val="4E7E031F"/>
    <w:rsid w:val="4EC44670"/>
    <w:rsid w:val="4F594CAB"/>
    <w:rsid w:val="4F5A2432"/>
    <w:rsid w:val="4F6B078C"/>
    <w:rsid w:val="4F8F6FE6"/>
    <w:rsid w:val="4FA06378"/>
    <w:rsid w:val="50A8592E"/>
    <w:rsid w:val="51A754EC"/>
    <w:rsid w:val="51AF69CD"/>
    <w:rsid w:val="521600BC"/>
    <w:rsid w:val="52420EF7"/>
    <w:rsid w:val="52963321"/>
    <w:rsid w:val="52A14EC3"/>
    <w:rsid w:val="534B638F"/>
    <w:rsid w:val="53F21995"/>
    <w:rsid w:val="5418220F"/>
    <w:rsid w:val="546045FE"/>
    <w:rsid w:val="554D5290"/>
    <w:rsid w:val="56296E24"/>
    <w:rsid w:val="56E04626"/>
    <w:rsid w:val="57DC64E0"/>
    <w:rsid w:val="581A515D"/>
    <w:rsid w:val="584125D2"/>
    <w:rsid w:val="58AE1A31"/>
    <w:rsid w:val="58B053E8"/>
    <w:rsid w:val="58CB3CE0"/>
    <w:rsid w:val="595A5E33"/>
    <w:rsid w:val="59EA7F4F"/>
    <w:rsid w:val="5ADC54F0"/>
    <w:rsid w:val="5C741667"/>
    <w:rsid w:val="5CAB1AAC"/>
    <w:rsid w:val="5D186F18"/>
    <w:rsid w:val="5D9341C4"/>
    <w:rsid w:val="5F0745CE"/>
    <w:rsid w:val="5FCC6BAB"/>
    <w:rsid w:val="60886A5A"/>
    <w:rsid w:val="610464A6"/>
    <w:rsid w:val="61DF614B"/>
    <w:rsid w:val="629B3C5A"/>
    <w:rsid w:val="62A35618"/>
    <w:rsid w:val="62FC4118"/>
    <w:rsid w:val="636C5BCF"/>
    <w:rsid w:val="63D24027"/>
    <w:rsid w:val="64846CBA"/>
    <w:rsid w:val="65E14FB5"/>
    <w:rsid w:val="686D223D"/>
    <w:rsid w:val="691B2B1E"/>
    <w:rsid w:val="6BF01A2A"/>
    <w:rsid w:val="6C573973"/>
    <w:rsid w:val="6D2E3635"/>
    <w:rsid w:val="6D8F1939"/>
    <w:rsid w:val="6E5839D5"/>
    <w:rsid w:val="6E9D056A"/>
    <w:rsid w:val="712227CC"/>
    <w:rsid w:val="72C930BC"/>
    <w:rsid w:val="72DF6A85"/>
    <w:rsid w:val="74787DB6"/>
    <w:rsid w:val="74957015"/>
    <w:rsid w:val="75065B3C"/>
    <w:rsid w:val="75133ED9"/>
    <w:rsid w:val="75B92B32"/>
    <w:rsid w:val="7613722B"/>
    <w:rsid w:val="76497FA9"/>
    <w:rsid w:val="77053496"/>
    <w:rsid w:val="779F13E7"/>
    <w:rsid w:val="7A98414F"/>
    <w:rsid w:val="7B296116"/>
    <w:rsid w:val="7B74438D"/>
    <w:rsid w:val="7C2932D9"/>
    <w:rsid w:val="7D483034"/>
    <w:rsid w:val="7D7130C1"/>
    <w:rsid w:val="7E687326"/>
    <w:rsid w:val="7EB83636"/>
    <w:rsid w:val="7ECE4975"/>
    <w:rsid w:val="7F2E04CB"/>
    <w:rsid w:val="7F4F1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0"/>
    <w:qFormat/>
    <w:uiPriority w:val="0"/>
    <w:pPr>
      <w:keepNext/>
      <w:spacing w:line="360" w:lineRule="auto"/>
      <w:jc w:val="center"/>
      <w:outlineLvl w:val="0"/>
    </w:pPr>
    <w:rPr>
      <w:rFonts w:ascii="黑体" w:hAnsi="黑体" w:eastAsia="宋体" w:cs="Times New Roman"/>
      <w:b/>
      <w:sz w:val="36"/>
      <w:szCs w:val="24"/>
    </w:rPr>
  </w:style>
  <w:style w:type="paragraph" w:styleId="4">
    <w:name w:val="heading 2"/>
    <w:basedOn w:val="1"/>
    <w:next w:val="1"/>
    <w:link w:val="18"/>
    <w:semiHidden/>
    <w:unhideWhenUsed/>
    <w:qFormat/>
    <w:uiPriority w:val="0"/>
    <w:pPr>
      <w:keepNext/>
      <w:keepLines/>
      <w:spacing w:line="240" w:lineRule="auto"/>
      <w:jc w:val="center"/>
      <w:outlineLvl w:val="1"/>
    </w:pPr>
    <w:rPr>
      <w:rFonts w:ascii="Calibri" w:hAnsi="Calibri" w:eastAsia="宋体"/>
      <w:b/>
      <w:bCs/>
      <w:sz w:val="32"/>
      <w:szCs w:val="32"/>
    </w:rPr>
  </w:style>
  <w:style w:type="paragraph" w:styleId="5">
    <w:name w:val="heading 3"/>
    <w:basedOn w:val="1"/>
    <w:next w:val="1"/>
    <w:link w:val="19"/>
    <w:semiHidden/>
    <w:unhideWhenUsed/>
    <w:qFormat/>
    <w:uiPriority w:val="0"/>
    <w:pPr>
      <w:keepNext/>
      <w:keepLines/>
      <w:spacing w:line="360" w:lineRule="auto"/>
      <w:ind w:firstLine="0" w:firstLineChars="0"/>
      <w:jc w:val="center"/>
      <w:outlineLvl w:val="2"/>
    </w:pPr>
    <w:rPr>
      <w:rFonts w:ascii="Times New Roman" w:hAnsi="Times New Roman" w:eastAsia="宋体" w:cs="Times New Roman"/>
      <w:b/>
      <w:bCs/>
      <w:sz w:val="30"/>
      <w:szCs w:val="32"/>
      <w:lang w:val="zh-CN"/>
    </w:rPr>
  </w:style>
  <w:style w:type="paragraph" w:styleId="6">
    <w:name w:val="heading 4"/>
    <w:basedOn w:val="1"/>
    <w:next w:val="1"/>
    <w:link w:val="21"/>
    <w:semiHidden/>
    <w:unhideWhenUsed/>
    <w:qFormat/>
    <w:uiPriority w:val="0"/>
    <w:pPr>
      <w:spacing w:line="360" w:lineRule="auto"/>
      <w:ind w:left="0" w:firstLine="0"/>
      <w:outlineLvl w:val="3"/>
    </w:pPr>
    <w:rPr>
      <w:rFonts w:ascii="宋体" w:hAnsi="宋体" w:eastAsia="宋体" w:cs="宋体"/>
      <w:b/>
      <w:bCs/>
      <w:sz w:val="24"/>
      <w:szCs w:val="24"/>
      <w:lang w:val="zh-CN" w:bidi="zh-CN"/>
    </w:rPr>
  </w:style>
  <w:style w:type="paragraph" w:styleId="7">
    <w:name w:val="heading 5"/>
    <w:basedOn w:val="1"/>
    <w:next w:val="1"/>
    <w:semiHidden/>
    <w:unhideWhenUsed/>
    <w:qFormat/>
    <w:uiPriority w:val="0"/>
    <w:pPr>
      <w:keepNext/>
      <w:keepLines/>
      <w:spacing w:beforeLines="0" w:beforeAutospacing="0" w:afterLines="0" w:afterAutospacing="0" w:line="360" w:lineRule="auto"/>
      <w:outlineLvl w:val="4"/>
    </w:pPr>
    <w:rPr>
      <w:rFonts w:ascii="华文仿宋" w:hAnsi="华文仿宋" w:cs="华文仿宋"/>
      <w:b/>
      <w:sz w:val="28"/>
      <w:szCs w:val="22"/>
      <w:lang w:val="zh-CN" w:bidi="zh-CN"/>
    </w:rPr>
  </w:style>
  <w:style w:type="paragraph" w:styleId="8">
    <w:name w:val="heading 6"/>
    <w:basedOn w:val="1"/>
    <w:next w:val="1"/>
    <w:semiHidden/>
    <w:unhideWhenUsed/>
    <w:qFormat/>
    <w:uiPriority w:val="0"/>
    <w:pPr>
      <w:keepNext/>
      <w:keepLines/>
      <w:numPr>
        <w:ilvl w:val="5"/>
        <w:numId w:val="1"/>
      </w:numPr>
      <w:spacing w:beforeLines="0" w:beforeAutospacing="0" w:afterLines="0" w:afterAutospacing="0" w:line="360" w:lineRule="auto"/>
      <w:ind w:left="0" w:firstLine="0"/>
      <w:outlineLvl w:val="5"/>
    </w:pPr>
    <w:rPr>
      <w:rFonts w:ascii="Arial" w:hAnsi="Arial" w:eastAsia="黑体" w:cs="华文仿宋"/>
      <w:sz w:val="24"/>
      <w:szCs w:val="22"/>
      <w:lang w:val="zh-CN" w:bidi="zh-CN"/>
    </w:rPr>
  </w:style>
  <w:style w:type="paragraph" w:styleId="9">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sz w:val="24"/>
    </w:rPr>
  </w:style>
  <w:style w:type="paragraph" w:styleId="10">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4" w:hanging="1584"/>
      <w:outlineLvl w:val="8"/>
    </w:pPr>
    <w:rPr>
      <w:rFonts w:ascii="Arial" w:hAnsi="Arial" w:eastAsia="黑体"/>
      <w:sz w:val="21"/>
    </w:rPr>
  </w:style>
  <w:style w:type="character" w:default="1" w:styleId="17">
    <w:name w:val="Default Paragraph Font"/>
    <w:semiHidden/>
    <w:unhideWhenUsed/>
    <w:qFormat/>
    <w:uiPriority w:val="1"/>
  </w:style>
  <w:style w:type="table" w:default="1" w:styleId="16">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12">
    <w:name w:val="Normal Indent"/>
    <w:basedOn w:val="1"/>
    <w:qFormat/>
    <w:uiPriority w:val="0"/>
    <w:pPr>
      <w:ind w:firstLine="420" w:firstLineChars="200"/>
    </w:pPr>
  </w:style>
  <w:style w:type="paragraph" w:styleId="13">
    <w:name w:val="toa heading"/>
    <w:basedOn w:val="1"/>
    <w:next w:val="1"/>
    <w:qFormat/>
    <w:uiPriority w:val="0"/>
    <w:pPr>
      <w:spacing w:before="120" w:beforeLines="0" w:beforeAutospacing="0"/>
    </w:pPr>
    <w:rPr>
      <w:rFonts w:ascii="Arial" w:hAnsi="Arial"/>
      <w:sz w:val="24"/>
    </w:rPr>
  </w:style>
  <w:style w:type="paragraph" w:styleId="14">
    <w:name w:val="Body Text"/>
    <w:basedOn w:val="1"/>
    <w:next w:val="1"/>
    <w:qFormat/>
    <w:uiPriority w:val="0"/>
    <w:pPr>
      <w:spacing w:after="120" w:afterLines="0" w:afterAutospacing="0"/>
    </w:pPr>
  </w:style>
  <w:style w:type="paragraph" w:styleId="15">
    <w:name w:val="toc 1"/>
    <w:basedOn w:val="1"/>
    <w:next w:val="1"/>
    <w:qFormat/>
    <w:uiPriority w:val="0"/>
    <w:pPr>
      <w:spacing w:before="120" w:after="120"/>
    </w:pPr>
    <w:rPr>
      <w:rFonts w:ascii="仿宋" w:hAnsi="仿宋" w:eastAsia="仿宋" w:cs="Arial"/>
      <w:snapToGrid w:val="0"/>
      <w:color w:val="000000"/>
      <w:kern w:val="0"/>
      <w:sz w:val="24"/>
      <w:szCs w:val="21"/>
      <w:lang w:eastAsia="en-US"/>
    </w:rPr>
  </w:style>
  <w:style w:type="character" w:customStyle="1" w:styleId="18">
    <w:name w:val="标题 2 Char1"/>
    <w:link w:val="4"/>
    <w:qFormat/>
    <w:uiPriority w:val="0"/>
    <w:rPr>
      <w:rFonts w:ascii="Arial" w:hAnsi="Arial" w:eastAsia="宋体" w:cs="Times New Roman"/>
      <w:b/>
      <w:bCs/>
      <w:kern w:val="0"/>
      <w:sz w:val="36"/>
      <w:szCs w:val="22"/>
      <w:lang w:val="zh-CN" w:bidi="zh-CN"/>
    </w:rPr>
  </w:style>
  <w:style w:type="character" w:customStyle="1" w:styleId="19">
    <w:name w:val="标题 3 Char"/>
    <w:basedOn w:val="17"/>
    <w:link w:val="5"/>
    <w:qFormat/>
    <w:uiPriority w:val="0"/>
    <w:rPr>
      <w:rFonts w:ascii="Times New Roman" w:hAnsi="Times New Roman" w:eastAsia="宋体" w:cs="Times New Roman"/>
      <w:b/>
      <w:bCs/>
      <w:kern w:val="2"/>
      <w:sz w:val="32"/>
      <w:szCs w:val="32"/>
    </w:rPr>
  </w:style>
  <w:style w:type="character" w:customStyle="1" w:styleId="20">
    <w:name w:val="标题 1 Char"/>
    <w:basedOn w:val="17"/>
    <w:link w:val="3"/>
    <w:qFormat/>
    <w:uiPriority w:val="0"/>
    <w:rPr>
      <w:rFonts w:ascii="黑体" w:hAnsi="黑体" w:eastAsia="宋体" w:cs="Times New Roman"/>
      <w:b/>
      <w:kern w:val="2"/>
      <w:sz w:val="36"/>
      <w:szCs w:val="24"/>
    </w:rPr>
  </w:style>
  <w:style w:type="character" w:customStyle="1" w:styleId="21">
    <w:name w:val="标题 4 Char"/>
    <w:basedOn w:val="17"/>
    <w:link w:val="6"/>
    <w:qFormat/>
    <w:uiPriority w:val="0"/>
    <w:rPr>
      <w:rFonts w:ascii="宋体" w:hAnsi="宋体" w:eastAsia="宋体" w:cs="宋体"/>
      <w:b/>
      <w:color w:val="000000" w:themeColor="text1"/>
      <w:kern w:val="0"/>
      <w:sz w:val="30"/>
      <w:szCs w:val="28"/>
      <w:u w:val="none"/>
      <w:lang w:val="zh-CN" w:bidi="zh-CN"/>
      <w14:textFill>
        <w14:solidFill>
          <w14:schemeClr w14:val="tx1"/>
        </w14:solidFill>
      </w14:textFill>
    </w:rPr>
  </w:style>
  <w:style w:type="paragraph" w:customStyle="1" w:styleId="2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Kingsoft</Company>
  <Pages>7</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2025-07-15T09:02:04Z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CC53DDA9B2814F3D9A54F2FFF46D679A</vt:lpwstr>
  </property>
  <property fmtid="{D5CDD505-2E9C-101B-9397-08002B2CF9AE}" pid="4" name="KSOTemplateDocerSaveRecord">
    <vt:lpwstr>eyJoZGlkIjoiMTIzYjBkMDE0MDUwZWU1MDYzY2M0YTJiMmIyMWQyNDYiLCJ1c2VySWQiOiI5MTQ3Njg1NjkifQ==</vt:lpwstr>
  </property>
</Properties>
</file>