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版本号：DX2025--17820250716001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西安市第十学校物理实验室和计算机教室设备采购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DX2025--178</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西安市第十学校物理实验室和计算机教室设备采购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DX2025--178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西安市第十学校物理实验室和计算机教室设备采购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西安市第十学校物理实验室和计算机教室设备采购。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1、政府采购法第二十二条规定：投标人须提供符合《中华人民共和国政府采购法》第二十二条的规定的资格承诺函。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投标人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1、政府采购法第二十二条规定：投标人须提供符合《中华人民共和国政府采购法》第二十二条的规定的资格承诺函。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投标人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029-89697901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采购包1：518,100.00元</w:t>
            </w:r>
          </w:p>
          <w:p>
            <w:pPr>
              <w:pStyle w:val="null3"/>
            </w:pPr>
            <w:r>
              <w:rPr>
                <w:rFonts w:ascii="仿宋_GB2312" w:hAnsi="仿宋_GB2312" w:cs="仿宋_GB2312" w:eastAsia="仿宋_GB2312"/>
              </w:rPr>
              <w:t>采购包2：404,700.00元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 注：本项目服务费不足8000元按8000元收取。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联系人：张亚娜、李薇、刘艳娇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西安市第十学校物理实验室和计算机教室设备采购。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518,100.00</w:t>
      </w:r>
    </w:p>
    <w:p>
      <w:pPr>
        <w:pStyle w:val="null3"/>
      </w:pPr>
      <w:r>
        <w:rPr>
          <w:rFonts w:ascii="仿宋_GB2312" w:hAnsi="仿宋_GB2312" w:cs="仿宋_GB2312" w:eastAsia="仿宋_GB2312"/>
        </w:rPr>
        <w:t>采购包最高限价（元）: 518,100.00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404,700.00</w:t>
      </w:r>
    </w:p>
    <w:p>
      <w:pPr>
        <w:pStyle w:val="null3"/>
      </w:pPr>
      <w:r>
        <w:rPr>
          <w:rFonts w:ascii="仿宋_GB2312" w:hAnsi="仿宋_GB2312" w:cs="仿宋_GB2312" w:eastAsia="仿宋_GB2312"/>
        </w:rPr>
        <w:t>采购包最高限价（元）: 404,700.00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404,700.00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1、本合同包1核心产品为：实验操作台；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详见附件</w:t>
            </w:r>
            <w:r>
              <w:rPr>
                <w:rFonts w:ascii="仿宋_GB2312" w:hAnsi="仿宋_GB2312" w:cs="仿宋_GB2312" w:eastAsia="仿宋_GB2312"/>
                <w:sz w:val="21"/>
              </w:rPr>
              <w:t>1-</w:t>
            </w:r>
            <w:r>
              <w:rPr>
                <w:rFonts w:ascii="仿宋_GB2312" w:hAnsi="仿宋_GB2312" w:cs="仿宋_GB2312" w:eastAsia="仿宋_GB2312"/>
                <w:sz w:val="21"/>
              </w:rPr>
              <w:t>物理实验室设备清单。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1、本合同包2核心产品为：云终端一体机；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详见附件</w:t>
            </w:r>
            <w:r>
              <w:rPr>
                <w:rFonts w:ascii="仿宋_GB2312" w:hAnsi="仿宋_GB2312" w:cs="仿宋_GB2312" w:eastAsia="仿宋_GB2312"/>
                <w:sz w:val="21"/>
              </w:rPr>
              <w:t>2-</w:t>
            </w:r>
            <w:r>
              <w:rPr>
                <w:rFonts w:ascii="仿宋_GB2312" w:hAnsi="仿宋_GB2312" w:cs="仿宋_GB2312" w:eastAsia="仿宋_GB2312"/>
                <w:sz w:val="21"/>
              </w:rPr>
              <w:t>计算机教室设备清单。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2025年8月23日前。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2025年8月23日前。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验收合格3个月内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验收合格3个月内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投标人需在电子化交易系统上传响应的文件。中标单位领取中标通知书时，向招标代理机构提供一正两副纸质投标文件及电子版1份（签字盖章扫描PDF和word文档格式，U盘存储）。 2.投标人应自投标文件递交截止时间起至开标结束，保持在线状态。3.本项目兼投不兼中投标人根据自身情况可以投多个包，但最终只能中一个包。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投标人须提供符合《中华人民共和国政府采购法》第二十二条的规定的资格承诺函。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投标人须提供符合《中华人民共和国政府采购法》第二十二条的规定的资格承诺函。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（1）投标报价符合唯一性要求： （2）投标报价表填写 符合要求；（3）计量单位、报价货币均符合投标文件要求；（4）未超出采购预算或投标文件规定的最高限价。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投标人承诺书</w:t>
            </w:r>
          </w:p>
        </w:tc>
        <w:tc>
          <w:tcPr>
            <w:tcW w:type="dxa" w:w="3322"/>
          </w:tcPr>
          <w:p>
            <w:pPr>
              <w:pStyle w:val="null3"/>
            </w:pPr>
            <w:r>
              <w:rPr>
                <w:rFonts w:ascii="仿宋_GB2312" w:hAnsi="仿宋_GB2312" w:cs="仿宋_GB2312" w:eastAsia="仿宋_GB2312"/>
              </w:rPr>
              <w:t>（1）完全理解并接受《投标人廉洁自律承诺书》内容；（2）完全理解并接受《投标人企业关系关联承诺书》内容；（3）完全理解并接受《承诺书》内容。</w:t>
            </w:r>
          </w:p>
        </w:tc>
        <w:tc>
          <w:tcPr>
            <w:tcW w:type="dxa" w:w="1661"/>
          </w:tcPr>
          <w:p>
            <w:pPr>
              <w:pStyle w:val="null3"/>
            </w:pPr>
            <w:r>
              <w:rPr>
                <w:rFonts w:ascii="仿宋_GB2312" w:hAnsi="仿宋_GB2312" w:cs="仿宋_GB2312" w:eastAsia="仿宋_GB2312"/>
              </w:rPr>
              <w:t>投标人廉洁自律承诺书 承诺书 投标人企业关系关联承诺书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无其他投标文件或法规明确规定响应无效的事项</w:t>
            </w:r>
          </w:p>
        </w:tc>
        <w:tc>
          <w:tcPr>
            <w:tcW w:type="dxa" w:w="3322"/>
          </w:tcPr>
          <w:p>
            <w:pPr>
              <w:pStyle w:val="null3"/>
            </w:pPr>
            <w:r>
              <w:rPr>
                <w:rFonts w:ascii="仿宋_GB2312" w:hAnsi="仿宋_GB2312" w:cs="仿宋_GB2312" w:eastAsia="仿宋_GB2312"/>
              </w:rPr>
              <w:t>无其他投标文件或法规明确规定响应无效的事项，没有不符合投标文件规定的被视为无效响应的其他条款。</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响应文件语言及有效期符合投标文件要求。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（1）投标报价符合唯一性要求： （2）投标报价表填写 符合要求；（3）计量单位、报价货币均符合投标文件要求；（4）未超出采购预算或投标文件规定的最高限价。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投标人承诺书</w:t>
            </w:r>
          </w:p>
        </w:tc>
        <w:tc>
          <w:tcPr>
            <w:tcW w:type="dxa" w:w="3322"/>
          </w:tcPr>
          <w:p>
            <w:pPr>
              <w:pStyle w:val="null3"/>
            </w:pPr>
            <w:r>
              <w:rPr>
                <w:rFonts w:ascii="仿宋_GB2312" w:hAnsi="仿宋_GB2312" w:cs="仿宋_GB2312" w:eastAsia="仿宋_GB2312"/>
              </w:rPr>
              <w:t>（1）完全理解并接受《投标人廉洁自律承诺书》内容；（2）完全理解并接受《投标人企业关系关联承诺书》内容；（3）完全理解并接受《承诺书》内容。</w:t>
            </w:r>
          </w:p>
        </w:tc>
        <w:tc>
          <w:tcPr>
            <w:tcW w:type="dxa" w:w="1661"/>
          </w:tcPr>
          <w:p>
            <w:pPr>
              <w:pStyle w:val="null3"/>
            </w:pPr>
            <w:r>
              <w:rPr>
                <w:rFonts w:ascii="仿宋_GB2312" w:hAnsi="仿宋_GB2312" w:cs="仿宋_GB2312" w:eastAsia="仿宋_GB2312"/>
              </w:rPr>
              <w:t>投标人廉洁自律承诺书 承诺书 投标人企业关系关联承诺书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无其他投标文件或法规明确规定响应无效的事项</w:t>
            </w:r>
          </w:p>
        </w:tc>
        <w:tc>
          <w:tcPr>
            <w:tcW w:type="dxa" w:w="3322"/>
          </w:tcPr>
          <w:p>
            <w:pPr>
              <w:pStyle w:val="null3"/>
            </w:pPr>
            <w:r>
              <w:rPr>
                <w:rFonts w:ascii="仿宋_GB2312" w:hAnsi="仿宋_GB2312" w:cs="仿宋_GB2312" w:eastAsia="仿宋_GB2312"/>
              </w:rPr>
              <w:t>无其他投标文件或法规明确规定响应无效的事项，没有不符合投标文件规定的被视为无效响应的其他条款。</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投标文件对付款、交货期限、质保期等商务要求进行响应，根据响应程度计0-4分；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w:t>
            </w:r>
          </w:p>
          <w:p>
            <w:pPr>
              <w:pStyle w:val="null3"/>
            </w:pPr>
            <w:r>
              <w:rPr>
                <w:rFonts w:ascii="仿宋_GB2312" w:hAnsi="仿宋_GB2312" w:cs="仿宋_GB2312" w:eastAsia="仿宋_GB2312"/>
              </w:rPr>
              <w:t>（合同）商务主要条款偏离表</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所投产品为节能、环保、环境标志的产品，满足行业现行规范及各项法规要求,符合招标文件要求的，可优先采购并根据其占投标报价总金额的百分比计算得分，计算公式为：得分=（节能、环保、环境标志产品清单中的产品报价/投标报价）×3</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1.投标产品参数（含配件）选型科学合理，技术先进，技术参数清晰明确，技术指标和性能完全满足招标文件要求，得10分；每负偏离一项扣0.5分，扣完为止。 2.提供投标产品的证明材料（不限于检验报告、产品彩页、产品说明书、官网功能截图等），证明资料技术指标和性能完全满足招标文件要求，根据资料的详实、充分程度得0-10分。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技术规格偏离表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不限于①有完善的生产计划安排，备货、运输措施，包括但不限于物品运输、送达、配发、调换等方面；②拟投入本项目的人力调配方案，有专业技术人员及辅助人员支持；③生产设备先进，流水作业产品符合国家相关行业标准。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上述4项评审内容全部满足评审标准得15分，每有一个评审内容缺项扣5分，每有一项评审内容存在缺陷，扣（0-5）分。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针对本项目提供具体可行的产品质量保证方案，不限于①投标产品或原材料供货渠道正规，保证为原厂正品并能出具相关证明资料。②产品质量保证方案及承诺；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具体可行的售后服务方案及承诺，不限于①具有建全的售后服务机构、配备专职售后人员，承诺售后服务具体响应时限等；②详细的售后服务方案，包含但不限于：库房场地管理措施、临时补货或者产品残缺退还服务、应急措施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投标人提供2022年7月至今以合同签订时间为准的同类业绩证明文件，提供完整合同复印件加盖公章，每提供一份得2分，满分10分。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满足招标文件要求且投标总报价最低为评标基准价，其价格分为满分。 报价得分=（评标基准价／投标总报价）×权值×100。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投标文件对付款、交货期限、质保期等商务要求进行响应，根据响应程度计0-4分；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（合同）商务主要条款偏离表</w:t>
            </w:r>
          </w:p>
          <w:p>
            <w:pPr>
              <w:pStyle w:val="null3"/>
            </w:pPr>
            <w:r>
              <w:rPr>
                <w:rFonts w:ascii="仿宋_GB2312" w:hAnsi="仿宋_GB2312" w:cs="仿宋_GB2312" w:eastAsia="仿宋_GB2312"/>
              </w:rPr>
              <w:t>投标人认为有必要补充说明的事项</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所投产品为节能、环保、环境标志的产品，满足行业现行规范及各项法规要求,符合招标文件要求的，可优先采购并根据其占投标报价总金额的百分比计算得分，计算公式为：得分=（节能、环保、环境标志产品清单中的产品报价/投标报价）×3</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1.投标产品参数（含配件）选型科学合理，技术先进，技术参数清晰明确，技术指标和性能完全满足招标文件要求，得10分；每负偏离一项扣0.5分，扣完为止。 2.提供投标产品的证明材料（不限于检验报告、产品彩页、产品说明书、官网功能截图等），证明资料技术指标和性能完全满足招标文件要求，根据资料的详实、充分程度得0-10分。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技术规格偏离表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不限于①有完善的生产计划安排，备货、运输措施，包括但不限于物品运输、送达、配发、调换等方面；②拟投入本项目的人力调配方案，有专业技术人员及辅助人员支持；③生产设备先进，流水作业产品符合国家相关行业标准。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上述4项评审内容全部满足评审标准得15分，每有一个评审内容缺项扣5分，每有一项评审内容存在缺陷，扣（0-5）分。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针对本项目提供具体可行的产品质量保证方案，不限于①投标产品或原材料供货渠道正规，保证为原厂正品并能出具相关证明资料。②产品质量保证方案及承诺；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具体可行的售后服务方案及承诺，不限于①具有建全的售后服务机构、配备专职售后人员，承诺售后服务具体响应时限等；②详细的售后服务方案，包含但不限于：库房场地管理措施、临时补货或者产品残缺退还服务、应急措施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投标人提供2022年7月至今以合同签订时间为准的同类业绩证明文件，提供完整合同复印件加盖公章，每提供一份得2分，满分10分。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满足招标文件要求且投标总报价最低为评标基准价，其价格分为满分。 报价得分=（评标基准价／投标总报价）×权值×100。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详见附件：（合同）商务主要条款偏离表</w:t>
      </w:r>
    </w:p>
    <w:p>
      <w:pPr>
        <w:pStyle w:val="null3"/>
        <w:ind w:firstLine="960"/>
      </w:pPr>
      <w:r>
        <w:rPr>
          <w:rFonts w:ascii="仿宋_GB2312" w:hAnsi="仿宋_GB2312" w:cs="仿宋_GB2312" w:eastAsia="仿宋_GB2312"/>
        </w:rPr>
        <w:t>详见附件：节能环保、环境标志产品明细表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详见附件：投标人企业关系关联承诺书</w:t>
      </w:r>
    </w:p>
    <w:p>
      <w:pPr>
        <w:pStyle w:val="null3"/>
        <w:ind w:firstLine="960"/>
      </w:pPr>
      <w:r>
        <w:rPr>
          <w:rFonts w:ascii="仿宋_GB2312" w:hAnsi="仿宋_GB2312" w:cs="仿宋_GB2312" w:eastAsia="仿宋_GB2312"/>
        </w:rPr>
        <w:t>详见附件：投标人廉洁自律承诺书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详见附件：投标人认为有必要补充说明的事项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详见附件：（合同）商务主要条款偏离表</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详见附件：投标人企业关系关联承诺书</w:t>
      </w:r>
    </w:p>
    <w:p>
      <w:pPr>
        <w:pStyle w:val="null3"/>
        <w:ind w:firstLine="960"/>
      </w:pPr>
      <w:r>
        <w:rPr>
          <w:rFonts w:ascii="仿宋_GB2312" w:hAnsi="仿宋_GB2312" w:cs="仿宋_GB2312" w:eastAsia="仿宋_GB2312"/>
        </w:rPr>
        <w:t>详见附件：投标人廉洁自律承诺书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详见附件：投标人认为有必要补充说明的事项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