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B5A11">
      <w:pPr>
        <w:pStyle w:val="3"/>
        <w:jc w:val="center"/>
        <w:rPr>
          <w:rFonts w:hint="eastAsia" w:ascii="仿宋" w:hAnsi="仿宋" w:eastAsia="仿宋" w:cs="仿宋"/>
          <w:color w:val="auto"/>
          <w:szCs w:val="15"/>
          <w:highlight w:val="none"/>
        </w:rPr>
      </w:pPr>
      <w:bookmarkStart w:id="9" w:name="_GoBack"/>
      <w:bookmarkStart w:id="0" w:name="_Toc19367"/>
      <w:bookmarkStart w:id="1" w:name="_Toc15900"/>
      <w:bookmarkStart w:id="2" w:name="_Toc22952"/>
      <w:bookmarkStart w:id="3" w:name="_Toc4521"/>
      <w:bookmarkStart w:id="4" w:name="_Toc19826"/>
      <w:bookmarkStart w:id="5" w:name="_Toc7809"/>
      <w:bookmarkStart w:id="6" w:name="_Toc12108"/>
      <w:bookmarkStart w:id="7" w:name="_Toc3436"/>
      <w:bookmarkStart w:id="8" w:name="_Toc30144"/>
      <w:r>
        <w:rPr>
          <w:rFonts w:hint="eastAsia" w:ascii="仿宋" w:hAnsi="仿宋" w:eastAsia="仿宋" w:cs="仿宋"/>
          <w:color w:val="auto"/>
          <w:szCs w:val="15"/>
          <w:highlight w:val="none"/>
        </w:rPr>
        <w:t>开标一览表</w:t>
      </w:r>
      <w:bookmarkEnd w:id="9"/>
      <w:r>
        <w:rPr>
          <w:rFonts w:hint="eastAsia" w:ascii="仿宋" w:hAnsi="仿宋" w:eastAsia="仿宋" w:cs="仿宋"/>
          <w:color w:val="auto"/>
          <w:szCs w:val="15"/>
          <w:highlight w:val="none"/>
        </w:rPr>
        <w:t>（唱标报告）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5"/>
        <w:tblW w:w="8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488"/>
      </w:tblGrid>
      <w:tr w14:paraId="4C33A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2087" w:type="dxa"/>
            <w:vAlign w:val="center"/>
          </w:tcPr>
          <w:p w14:paraId="42B088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88" w:type="dxa"/>
            <w:vAlign w:val="center"/>
          </w:tcPr>
          <w:p w14:paraId="10EACE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0E8E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2087" w:type="dxa"/>
            <w:vAlign w:val="center"/>
          </w:tcPr>
          <w:p w14:paraId="227BD3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88" w:type="dxa"/>
            <w:vAlign w:val="center"/>
          </w:tcPr>
          <w:p w14:paraId="79592B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2A38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2087" w:type="dxa"/>
            <w:vAlign w:val="center"/>
          </w:tcPr>
          <w:p w14:paraId="51FFDA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包号</w:t>
            </w:r>
          </w:p>
        </w:tc>
        <w:tc>
          <w:tcPr>
            <w:tcW w:w="6488" w:type="dxa"/>
            <w:vAlign w:val="center"/>
          </w:tcPr>
          <w:p w14:paraId="657D72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7058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  <w:jc w:val="center"/>
        </w:trPr>
        <w:tc>
          <w:tcPr>
            <w:tcW w:w="2087" w:type="dxa"/>
            <w:vAlign w:val="center"/>
          </w:tcPr>
          <w:p w14:paraId="7B58D1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投标报价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488" w:type="dxa"/>
            <w:vAlign w:val="center"/>
          </w:tcPr>
          <w:p w14:paraId="3D68C31B"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大写: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</w:p>
          <w:p w14:paraId="4C53DBD2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小写: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35864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087" w:type="dxa"/>
            <w:vAlign w:val="center"/>
          </w:tcPr>
          <w:p w14:paraId="1C2403ED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交货期</w:t>
            </w:r>
          </w:p>
        </w:tc>
        <w:tc>
          <w:tcPr>
            <w:tcW w:w="6488" w:type="dxa"/>
            <w:vAlign w:val="center"/>
          </w:tcPr>
          <w:p w14:paraId="10395B0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6F41FDF6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3D5C0561">
      <w:pPr>
        <w:spacing w:line="360" w:lineRule="auto"/>
        <w:rPr>
          <w:rFonts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1.本表所列各项数据与投标文件其它地方表述不一致时，以本表为准。</w:t>
      </w:r>
    </w:p>
    <w:p w14:paraId="01D3CAF3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2.投标报价以元为单位，四舍五入精确到小数点后两位。</w:t>
      </w:r>
    </w:p>
    <w:p w14:paraId="3321443F">
      <w:pPr>
        <w:spacing w:line="360" w:lineRule="auto"/>
        <w:ind w:firstLine="2560" w:firstLineChars="800"/>
        <w:rPr>
          <w:rFonts w:ascii="仿宋" w:hAnsi="仿宋" w:eastAsia="仿宋" w:cs="仿宋"/>
          <w:color w:val="auto"/>
          <w:sz w:val="32"/>
          <w:highlight w:val="none"/>
        </w:rPr>
      </w:pPr>
    </w:p>
    <w:p w14:paraId="457B53B5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投标人（公章）：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5030F1E6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18EB471F">
      <w:pPr>
        <w:ind w:firstLine="3360" w:firstLineChars="140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     </w:t>
      </w:r>
    </w:p>
    <w:p w14:paraId="71DD9781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17CBA"/>
    <w:rsid w:val="4AF053CC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陕西笃信招标有限公司</cp:lastModifiedBy>
  <dcterms:modified xsi:type="dcterms:W3CDTF">2025-07-16T10:03:17Z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8779D939E3234C42BAC4BFB2306B9070_13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