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D38B13">
      <w:pPr>
        <w:spacing w:line="240" w:lineRule="auto"/>
        <w:ind w:firstLine="0" w:firstLineChars="0"/>
        <w:jc w:val="left"/>
        <w:rPr>
          <w:rFonts w:hint="eastAsia" w:ascii="宋体" w:hAnsi="宋体" w:eastAsia="宋体" w:cs="宋体"/>
          <w:color w:val="000000"/>
          <w:kern w:val="0"/>
          <w:sz w:val="28"/>
          <w:szCs w:val="28"/>
          <w:lang w:bidi="en-US"/>
        </w:rPr>
      </w:pPr>
      <w:r>
        <w:rPr>
          <w:rFonts w:hint="eastAsia" w:ascii="宋体" w:hAnsi="宋体" w:eastAsia="宋体" w:cs="宋体"/>
          <w:b/>
          <w:bCs/>
          <w:color w:val="000000"/>
          <w:kern w:val="0"/>
          <w:sz w:val="28"/>
          <w:szCs w:val="28"/>
          <w:lang w:bidi="en-US"/>
        </w:rPr>
        <w:t xml:space="preserve">政府采购项目 </w:t>
      </w:r>
      <w:r>
        <w:rPr>
          <w:rFonts w:hint="eastAsia" w:ascii="宋体" w:hAnsi="宋体" w:eastAsia="宋体" w:cs="宋体"/>
          <w:color w:val="000000"/>
          <w:kern w:val="0"/>
          <w:sz w:val="28"/>
          <w:szCs w:val="28"/>
          <w:lang w:bidi="en-US"/>
        </w:rPr>
        <w:t xml:space="preserve">                               </w:t>
      </w:r>
      <w:r>
        <w:rPr>
          <w:rFonts w:hint="eastAsia" w:hAnsi="宋体" w:cs="宋体"/>
          <w:color w:val="000000"/>
          <w:kern w:val="0"/>
          <w:sz w:val="28"/>
          <w:szCs w:val="28"/>
          <w:lang w:val="en-US" w:eastAsia="zh-CN" w:bidi="en-US"/>
        </w:rPr>
        <w:t xml:space="preserve">          </w:t>
      </w:r>
      <w:r>
        <w:rPr>
          <w:rFonts w:hint="eastAsia" w:ascii="宋体" w:hAnsi="宋体" w:eastAsia="宋体" w:cs="宋体"/>
          <w:color w:val="000000"/>
          <w:kern w:val="0"/>
          <w:sz w:val="28"/>
          <w:szCs w:val="28"/>
          <w:lang w:bidi="en-US"/>
        </w:rPr>
        <w:t xml:space="preserve">    </w:t>
      </w:r>
      <w:r>
        <w:rPr>
          <w:rFonts w:hint="eastAsia" w:ascii="宋体" w:hAnsi="宋体" w:eastAsia="宋体" w:cs="宋体"/>
          <w:b/>
          <w:bCs/>
          <w:color w:val="000000"/>
          <w:kern w:val="0"/>
          <w:sz w:val="28"/>
          <w:szCs w:val="28"/>
          <w:bdr w:val="single" w:color="auto" w:sz="4" w:space="0"/>
          <w:lang w:bidi="en-US"/>
        </w:rPr>
        <w:t>竞争性磋商</w:t>
      </w:r>
    </w:p>
    <w:p w14:paraId="6A745E81">
      <w:pPr>
        <w:keepNext/>
        <w:keepLines/>
        <w:spacing w:after="120" w:line="1114" w:lineRule="exact"/>
        <w:ind w:left="620" w:firstLine="1160" w:firstLineChars="200"/>
        <w:jc w:val="center"/>
        <w:outlineLvl w:val="0"/>
        <w:rPr>
          <w:rFonts w:hint="eastAsia" w:ascii="宋体" w:hAnsi="宋体" w:eastAsia="宋体" w:cs="宋体"/>
          <w:kern w:val="2"/>
          <w:sz w:val="58"/>
          <w:szCs w:val="58"/>
          <w:lang w:bidi="en-US"/>
        </w:rPr>
      </w:pPr>
      <w:bookmarkStart w:id="0" w:name="bookmark2"/>
      <w:bookmarkStart w:id="1" w:name="bookmark0"/>
      <w:bookmarkStart w:id="2" w:name="bookmark1"/>
    </w:p>
    <w:p w14:paraId="7271D1E4">
      <w:pPr>
        <w:keepNext/>
        <w:keepLines/>
        <w:spacing w:after="120" w:line="1114" w:lineRule="exact"/>
        <w:ind w:firstLine="0" w:firstLineChars="0"/>
        <w:jc w:val="center"/>
        <w:outlineLvl w:val="0"/>
        <w:rPr>
          <w:rFonts w:hint="eastAsia" w:ascii="仿宋" w:hAnsi="仿宋" w:eastAsia="仿宋" w:cs="仿宋"/>
          <w:b/>
          <w:sz w:val="48"/>
          <w:szCs w:val="32"/>
          <w:lang w:eastAsia="zh-CN"/>
        </w:rPr>
      </w:pPr>
      <w:r>
        <w:rPr>
          <w:rFonts w:hint="eastAsia" w:ascii="仿宋" w:hAnsi="仿宋" w:eastAsia="仿宋" w:cs="仿宋"/>
          <w:b/>
          <w:sz w:val="48"/>
          <w:szCs w:val="32"/>
          <w:lang w:eastAsia="zh-CN"/>
        </w:rPr>
        <w:t>西安国家民用航天产业基地管理委员会</w:t>
      </w:r>
    </w:p>
    <w:p w14:paraId="74429357">
      <w:pPr>
        <w:keepNext/>
        <w:keepLines/>
        <w:spacing w:after="120" w:line="1114" w:lineRule="exact"/>
        <w:ind w:firstLine="0" w:firstLineChars="0"/>
        <w:jc w:val="center"/>
        <w:outlineLvl w:val="0"/>
        <w:rPr>
          <w:rFonts w:hint="eastAsia" w:ascii="宋体" w:hAnsi="宋体" w:eastAsia="宋体" w:cs="宋体"/>
          <w:b/>
          <w:bCs/>
          <w:kern w:val="2"/>
          <w:sz w:val="200"/>
          <w:szCs w:val="200"/>
          <w:lang w:val="zh-TW" w:eastAsia="zh-TW" w:bidi="zh-TW"/>
        </w:rPr>
      </w:pPr>
      <w:r>
        <w:rPr>
          <w:rFonts w:hint="eastAsia" w:ascii="仿宋" w:hAnsi="仿宋" w:eastAsia="仿宋" w:cs="仿宋"/>
          <w:b/>
          <w:sz w:val="48"/>
          <w:szCs w:val="32"/>
          <w:lang w:eastAsia="zh-CN"/>
        </w:rPr>
        <w:t>生态环境监测第三方服务</w:t>
      </w:r>
    </w:p>
    <w:p w14:paraId="561B5287">
      <w:pPr>
        <w:keepNext/>
        <w:keepLines/>
        <w:spacing w:after="120" w:line="1114" w:lineRule="exact"/>
        <w:ind w:firstLine="0" w:firstLineChars="0"/>
        <w:jc w:val="center"/>
        <w:outlineLvl w:val="0"/>
        <w:rPr>
          <w:rFonts w:hint="eastAsia" w:ascii="宋体" w:hAnsi="宋体" w:eastAsia="宋体" w:cs="宋体"/>
          <w:b/>
          <w:bCs/>
          <w:kern w:val="2"/>
          <w:sz w:val="72"/>
          <w:szCs w:val="72"/>
          <w:lang w:val="zh-TW" w:eastAsia="zh-TW" w:bidi="zh-TW"/>
        </w:rPr>
      </w:pPr>
    </w:p>
    <w:p w14:paraId="71CFC5C6">
      <w:pPr>
        <w:keepNext/>
        <w:keepLines/>
        <w:spacing w:after="120" w:line="1114" w:lineRule="exact"/>
        <w:ind w:firstLine="0" w:firstLineChars="0"/>
        <w:jc w:val="center"/>
        <w:outlineLvl w:val="0"/>
        <w:rPr>
          <w:rFonts w:hint="eastAsia" w:ascii="宋体" w:hAnsi="宋体" w:eastAsia="宋体" w:cs="宋体"/>
          <w:b/>
          <w:bCs/>
          <w:kern w:val="2"/>
          <w:sz w:val="72"/>
          <w:szCs w:val="72"/>
          <w:lang w:val="zh-TW" w:eastAsia="zh-TW" w:bidi="zh-TW"/>
        </w:rPr>
      </w:pPr>
      <w:bookmarkStart w:id="3" w:name="_Toc14926"/>
      <w:r>
        <w:rPr>
          <w:rFonts w:hint="eastAsia" w:ascii="宋体" w:hAnsi="宋体" w:eastAsia="宋体" w:cs="宋体"/>
          <w:b/>
          <w:bCs/>
          <w:kern w:val="2"/>
          <w:sz w:val="72"/>
          <w:szCs w:val="72"/>
          <w:lang w:val="zh-TW" w:eastAsia="zh-TW" w:bidi="zh-TW"/>
        </w:rPr>
        <w:t>服</w:t>
      </w:r>
      <w:r>
        <w:rPr>
          <w:rFonts w:hint="eastAsia" w:ascii="宋体" w:hAnsi="宋体" w:eastAsia="宋体" w:cs="宋体"/>
          <w:b/>
          <w:bCs/>
          <w:kern w:val="2"/>
          <w:sz w:val="72"/>
          <w:szCs w:val="72"/>
          <w:lang w:bidi="zh-TW"/>
        </w:rPr>
        <w:t xml:space="preserve"> </w:t>
      </w:r>
      <w:r>
        <w:rPr>
          <w:rFonts w:hint="eastAsia" w:ascii="宋体" w:hAnsi="宋体" w:eastAsia="宋体" w:cs="宋体"/>
          <w:b/>
          <w:bCs/>
          <w:kern w:val="2"/>
          <w:sz w:val="72"/>
          <w:szCs w:val="72"/>
          <w:lang w:val="zh-TW" w:eastAsia="zh-TW" w:bidi="zh-TW"/>
        </w:rPr>
        <w:t>务</w:t>
      </w:r>
      <w:r>
        <w:rPr>
          <w:rFonts w:hint="eastAsia" w:ascii="宋体" w:hAnsi="宋体" w:eastAsia="宋体" w:cs="宋体"/>
          <w:b/>
          <w:bCs/>
          <w:kern w:val="2"/>
          <w:sz w:val="72"/>
          <w:szCs w:val="72"/>
          <w:lang w:bidi="zh-TW"/>
        </w:rPr>
        <w:t xml:space="preserve"> </w:t>
      </w:r>
      <w:r>
        <w:rPr>
          <w:rFonts w:hint="eastAsia" w:ascii="宋体" w:hAnsi="宋体" w:eastAsia="宋体" w:cs="宋体"/>
          <w:b/>
          <w:bCs/>
          <w:kern w:val="2"/>
          <w:sz w:val="72"/>
          <w:szCs w:val="72"/>
          <w:lang w:val="zh-TW" w:eastAsia="zh-TW" w:bidi="zh-TW"/>
        </w:rPr>
        <w:t>合</w:t>
      </w:r>
      <w:r>
        <w:rPr>
          <w:rFonts w:hint="eastAsia" w:ascii="宋体" w:hAnsi="宋体" w:eastAsia="宋体" w:cs="宋体"/>
          <w:b/>
          <w:bCs/>
          <w:kern w:val="2"/>
          <w:sz w:val="72"/>
          <w:szCs w:val="72"/>
          <w:lang w:bidi="zh-TW"/>
        </w:rPr>
        <w:t xml:space="preserve"> </w:t>
      </w:r>
      <w:r>
        <w:rPr>
          <w:rFonts w:hint="eastAsia" w:ascii="宋体" w:hAnsi="宋体" w:eastAsia="宋体" w:cs="宋体"/>
          <w:b/>
          <w:bCs/>
          <w:kern w:val="2"/>
          <w:sz w:val="72"/>
          <w:szCs w:val="72"/>
          <w:lang w:val="zh-TW" w:eastAsia="zh-TW" w:bidi="zh-TW"/>
        </w:rPr>
        <w:t>同</w:t>
      </w:r>
      <w:bookmarkEnd w:id="0"/>
      <w:bookmarkEnd w:id="1"/>
      <w:bookmarkEnd w:id="2"/>
      <w:bookmarkEnd w:id="3"/>
    </w:p>
    <w:p w14:paraId="4DFB9AD8">
      <w:pPr>
        <w:spacing w:after="120" w:line="240" w:lineRule="auto"/>
        <w:ind w:firstLine="0" w:firstLineChars="0"/>
        <w:jc w:val="center"/>
        <w:rPr>
          <w:rFonts w:hint="eastAsia" w:ascii="宋体" w:hAnsi="宋体" w:eastAsia="宋体" w:cs="宋体"/>
          <w:kern w:val="2"/>
          <w:sz w:val="30"/>
          <w:szCs w:val="30"/>
          <w:highlight w:val="none"/>
          <w:lang w:val="zh-TW" w:bidi="zh-TW"/>
        </w:rPr>
      </w:pPr>
      <w:r>
        <w:rPr>
          <w:rFonts w:hint="eastAsia" w:ascii="宋体" w:hAnsi="宋体" w:eastAsia="宋体" w:cs="宋体"/>
          <w:b/>
          <w:bCs/>
          <w:kern w:val="2"/>
          <w:sz w:val="30"/>
          <w:szCs w:val="30"/>
          <w:highlight w:val="none"/>
          <w:lang w:val="zh-TW" w:eastAsia="zh-TW" w:bidi="zh-TW"/>
        </w:rPr>
        <w:t>（编号：</w:t>
      </w:r>
      <w:r>
        <w:rPr>
          <w:rFonts w:hint="eastAsia" w:hAnsi="宋体" w:cs="宋体"/>
          <w:b/>
          <w:bCs/>
          <w:kern w:val="2"/>
          <w:sz w:val="30"/>
          <w:szCs w:val="30"/>
          <w:highlight w:val="none"/>
          <w:lang w:val="en-US" w:eastAsia="zh-CN" w:bidi="en-US"/>
        </w:rPr>
        <w:t xml:space="preserve">               </w:t>
      </w:r>
      <w:r>
        <w:rPr>
          <w:rFonts w:hint="eastAsia" w:ascii="宋体" w:hAnsi="宋体" w:eastAsia="宋体" w:cs="宋体"/>
          <w:b/>
          <w:bCs/>
          <w:kern w:val="2"/>
          <w:sz w:val="30"/>
          <w:szCs w:val="30"/>
          <w:highlight w:val="none"/>
          <w:lang w:bidi="en-US"/>
        </w:rPr>
        <w:t>）</w:t>
      </w:r>
    </w:p>
    <w:p w14:paraId="63C0574B">
      <w:pPr>
        <w:widowControl w:val="0"/>
        <w:spacing w:after="120" w:line="360" w:lineRule="auto"/>
        <w:ind w:left="480" w:leftChars="200" w:firstLine="480" w:firstLineChars="200"/>
        <w:jc w:val="both"/>
        <w:rPr>
          <w:rFonts w:hint="eastAsia" w:ascii="宋体" w:hAnsi="宋体" w:eastAsia="宋体" w:cs="宋体"/>
          <w:kern w:val="2"/>
          <w:sz w:val="24"/>
          <w:szCs w:val="24"/>
          <w:lang w:val="zh-TW" w:eastAsia="zh-CN" w:bidi="ar-SA"/>
        </w:rPr>
      </w:pPr>
    </w:p>
    <w:p w14:paraId="29B09541">
      <w:pPr>
        <w:spacing w:after="480" w:line="240" w:lineRule="auto"/>
        <w:ind w:left="200" w:firstLine="621" w:firstLineChars="207"/>
        <w:jc w:val="left"/>
        <w:rPr>
          <w:rFonts w:hint="eastAsia" w:ascii="宋体" w:hAnsi="宋体" w:eastAsia="宋体" w:cs="宋体"/>
          <w:kern w:val="2"/>
          <w:sz w:val="30"/>
          <w:szCs w:val="30"/>
          <w:lang w:bidi="en-US"/>
        </w:rPr>
      </w:pPr>
      <w:r>
        <w:rPr>
          <w:rFonts w:hint="eastAsia" w:ascii="宋体" w:hAnsi="宋体" w:eastAsia="宋体" w:cs="宋体"/>
          <w:kern w:val="2"/>
          <w:sz w:val="30"/>
          <w:szCs w:val="30"/>
          <w:lang w:val="zh-TW" w:eastAsia="zh-TW" w:bidi="zh-TW"/>
        </w:rPr>
        <w:t>甲方：</w:t>
      </w:r>
      <w:r>
        <w:rPr>
          <w:rFonts w:hint="eastAsia" w:ascii="宋体" w:hAnsi="宋体" w:eastAsia="宋体" w:cs="宋体"/>
          <w:kern w:val="2"/>
          <w:sz w:val="30"/>
          <w:szCs w:val="30"/>
          <w:lang w:eastAsia="zh-CN" w:bidi="en-US"/>
        </w:rPr>
        <w:t>西安国家民用航天产业基地管理委员会</w:t>
      </w:r>
    </w:p>
    <w:p w14:paraId="5C512808">
      <w:pPr>
        <w:spacing w:after="480" w:line="240" w:lineRule="auto"/>
        <w:ind w:left="200" w:firstLine="621" w:firstLineChars="207"/>
        <w:jc w:val="left"/>
        <w:rPr>
          <w:rFonts w:hint="eastAsia" w:ascii="宋体" w:hAnsi="宋体" w:eastAsia="宋体" w:cs="宋体"/>
          <w:kern w:val="2"/>
          <w:sz w:val="30"/>
          <w:szCs w:val="30"/>
          <w:u w:val="single"/>
          <w:lang w:val="en-US" w:eastAsia="zh-CN" w:bidi="zh-TW"/>
        </w:rPr>
      </w:pPr>
      <w:r>
        <w:rPr>
          <w:rFonts w:hint="eastAsia" w:ascii="宋体" w:hAnsi="宋体" w:eastAsia="宋体" w:cs="宋体"/>
          <w:kern w:val="2"/>
          <w:sz w:val="30"/>
          <w:szCs w:val="30"/>
          <w:lang w:val="zh-TW" w:eastAsia="zh-TW" w:bidi="zh-TW"/>
        </w:rPr>
        <w:t>乙方:</w:t>
      </w:r>
      <w:r>
        <w:rPr>
          <w:rFonts w:hint="eastAsia" w:ascii="宋体" w:hAnsi="宋体" w:eastAsia="宋体" w:cs="宋体"/>
          <w:kern w:val="2"/>
          <w:sz w:val="30"/>
          <w:szCs w:val="30"/>
          <w:lang w:bidi="zh-TW"/>
        </w:rPr>
        <w:t xml:space="preserve"> </w:t>
      </w:r>
    </w:p>
    <w:p w14:paraId="0AE5B947">
      <w:pPr>
        <w:spacing w:line="528" w:lineRule="exact"/>
        <w:ind w:left="1795" w:leftChars="748" w:firstLine="1776" w:firstLineChars="592"/>
        <w:jc w:val="left"/>
        <w:rPr>
          <w:rFonts w:hint="eastAsia" w:ascii="宋体" w:hAnsi="宋体" w:eastAsia="宋体" w:cs="宋体"/>
          <w:kern w:val="2"/>
          <w:sz w:val="30"/>
          <w:szCs w:val="30"/>
          <w:lang w:val="zh-TW" w:eastAsia="zh-TW" w:bidi="zh-TW"/>
        </w:rPr>
      </w:pPr>
      <w:r>
        <w:rPr>
          <w:rFonts w:hint="eastAsia" w:ascii="宋体" w:hAnsi="宋体" w:eastAsia="宋体" w:cs="宋体"/>
          <w:kern w:val="2"/>
          <w:sz w:val="30"/>
          <w:szCs w:val="30"/>
          <w:lang w:bidi="en-US"/>
        </w:rPr>
        <w:t>202</w:t>
      </w:r>
      <w:r>
        <w:rPr>
          <w:rFonts w:hint="eastAsia" w:hAnsi="宋体" w:cs="宋体"/>
          <w:kern w:val="2"/>
          <w:sz w:val="30"/>
          <w:szCs w:val="30"/>
          <w:lang w:val="en-US" w:eastAsia="zh-CN" w:bidi="en-US"/>
        </w:rPr>
        <w:t>5</w:t>
      </w:r>
      <w:r>
        <w:rPr>
          <w:rFonts w:hint="eastAsia" w:ascii="宋体" w:hAnsi="宋体" w:eastAsia="宋体" w:cs="宋体"/>
          <w:kern w:val="2"/>
          <w:sz w:val="30"/>
          <w:szCs w:val="30"/>
          <w:lang w:val="zh-TW" w:eastAsia="zh-TW" w:bidi="zh-TW"/>
        </w:rPr>
        <w:t>年</w:t>
      </w:r>
      <w:r>
        <w:rPr>
          <w:rFonts w:hint="eastAsia" w:ascii="宋体" w:hAnsi="宋体" w:eastAsia="宋体" w:cs="宋体"/>
          <w:kern w:val="2"/>
          <w:sz w:val="30"/>
          <w:szCs w:val="30"/>
          <w:u w:val="single"/>
          <w:lang w:bidi="zh-TW"/>
        </w:rPr>
        <w:t xml:space="preserve">   </w:t>
      </w:r>
      <w:r>
        <w:rPr>
          <w:rFonts w:hint="eastAsia" w:ascii="宋体" w:hAnsi="宋体" w:eastAsia="宋体" w:cs="宋体"/>
          <w:kern w:val="2"/>
          <w:sz w:val="30"/>
          <w:szCs w:val="30"/>
          <w:lang w:val="zh-TW" w:eastAsia="zh-TW" w:bidi="zh-TW"/>
        </w:rPr>
        <w:t xml:space="preserve">月 </w:t>
      </w:r>
    </w:p>
    <w:p w14:paraId="7AD90A51">
      <w:pPr>
        <w:spacing w:line="528" w:lineRule="exact"/>
        <w:ind w:left="1795" w:leftChars="748" w:firstLine="1776" w:firstLineChars="592"/>
        <w:jc w:val="left"/>
        <w:rPr>
          <w:rFonts w:hint="eastAsia" w:ascii="宋体" w:hAnsi="宋体" w:eastAsia="宋体" w:cs="宋体"/>
          <w:kern w:val="2"/>
          <w:sz w:val="30"/>
          <w:szCs w:val="30"/>
          <w:lang w:val="zh-TW" w:eastAsia="zh-TW" w:bidi="zh-TW"/>
        </w:rPr>
      </w:pPr>
      <w:r>
        <w:rPr>
          <w:rFonts w:hint="eastAsia" w:ascii="宋体" w:hAnsi="宋体" w:eastAsia="宋体" w:cs="宋体"/>
          <w:kern w:val="2"/>
          <w:sz w:val="30"/>
          <w:szCs w:val="30"/>
          <w:lang w:val="zh-TW" w:eastAsia="zh-TW" w:bidi="zh-TW"/>
        </w:rPr>
        <w:t>中国</w:t>
      </w:r>
      <w:r>
        <w:rPr>
          <w:rFonts w:hint="eastAsia" w:ascii="宋体" w:hAnsi="宋体" w:eastAsia="宋体" w:cs="宋体"/>
          <w:kern w:val="2"/>
          <w:sz w:val="30"/>
          <w:szCs w:val="30"/>
          <w:lang w:bidi="zh-TW"/>
        </w:rPr>
        <w:t xml:space="preserve">  </w:t>
      </w:r>
      <w:r>
        <w:rPr>
          <w:rFonts w:hint="eastAsia" w:ascii="宋体" w:hAnsi="宋体" w:eastAsia="宋体" w:cs="宋体"/>
          <w:kern w:val="2"/>
          <w:sz w:val="30"/>
          <w:szCs w:val="30"/>
          <w:lang w:val="zh-TW" w:eastAsia="zh-TW" w:bidi="zh-TW"/>
        </w:rPr>
        <w:t>西安</w:t>
      </w:r>
    </w:p>
    <w:p w14:paraId="6B9884FC">
      <w:pPr>
        <w:keepNext/>
        <w:keepLines/>
        <w:spacing w:after="420" w:line="240" w:lineRule="auto"/>
        <w:ind w:firstLine="723" w:firstLineChars="200"/>
        <w:jc w:val="center"/>
        <w:outlineLvl w:val="1"/>
        <w:rPr>
          <w:rFonts w:hint="eastAsia" w:ascii="宋体" w:hAnsi="宋体" w:eastAsia="宋体" w:cs="宋体"/>
          <w:b/>
          <w:bCs/>
          <w:kern w:val="2"/>
          <w:sz w:val="36"/>
          <w:szCs w:val="36"/>
          <w:lang w:val="zh-TW" w:eastAsia="zh-TW" w:bidi="zh-TW"/>
        </w:rPr>
        <w:sectPr>
          <w:pgSz w:w="11906" w:h="16838"/>
          <w:pgMar w:top="1440" w:right="1080" w:bottom="1440" w:left="1247" w:header="851" w:footer="992" w:gutter="0"/>
          <w:pgNumType w:fmt="decimal"/>
          <w:cols w:space="425" w:num="1"/>
          <w:docGrid w:type="lines" w:linePitch="312" w:charSpace="0"/>
        </w:sectPr>
      </w:pPr>
      <w:bookmarkStart w:id="4" w:name="bookmark3"/>
      <w:bookmarkStart w:id="5" w:name="bookmark4"/>
      <w:bookmarkStart w:id="6" w:name="bookmark5"/>
    </w:p>
    <w:p w14:paraId="3CAC918D">
      <w:pPr>
        <w:keepNext/>
        <w:keepLines/>
        <w:spacing w:after="420" w:line="240" w:lineRule="auto"/>
        <w:ind w:firstLine="723" w:firstLineChars="200"/>
        <w:jc w:val="center"/>
        <w:outlineLvl w:val="1"/>
        <w:rPr>
          <w:rFonts w:hint="eastAsia" w:ascii="宋体" w:hAnsi="宋体" w:eastAsia="宋体" w:cs="宋体"/>
          <w:b/>
          <w:bCs/>
          <w:kern w:val="2"/>
          <w:sz w:val="36"/>
          <w:szCs w:val="36"/>
          <w:lang w:val="zh-TW" w:eastAsia="zh-TW" w:bidi="zh-TW"/>
        </w:rPr>
      </w:pPr>
      <w:r>
        <w:rPr>
          <w:rFonts w:hint="eastAsia" w:ascii="宋体" w:hAnsi="宋体" w:eastAsia="宋体" w:cs="宋体"/>
          <w:b/>
          <w:bCs/>
          <w:kern w:val="2"/>
          <w:sz w:val="36"/>
          <w:szCs w:val="36"/>
          <w:lang w:val="zh-TW" w:eastAsia="zh-TW" w:bidi="zh-TW"/>
        </w:rPr>
        <w:t>服</w:t>
      </w:r>
      <w:r>
        <w:rPr>
          <w:rFonts w:hint="eastAsia" w:ascii="宋体" w:hAnsi="宋体" w:eastAsia="宋体" w:cs="宋体"/>
          <w:b/>
          <w:bCs/>
          <w:kern w:val="2"/>
          <w:sz w:val="36"/>
          <w:szCs w:val="36"/>
          <w:lang w:bidi="zh-TW"/>
        </w:rPr>
        <w:t xml:space="preserve"> </w:t>
      </w:r>
      <w:r>
        <w:rPr>
          <w:rFonts w:hint="eastAsia" w:ascii="宋体" w:hAnsi="宋体" w:eastAsia="宋体" w:cs="宋体"/>
          <w:b/>
          <w:bCs/>
          <w:kern w:val="2"/>
          <w:sz w:val="36"/>
          <w:szCs w:val="36"/>
          <w:lang w:val="zh-TW" w:eastAsia="zh-TW" w:bidi="zh-TW"/>
        </w:rPr>
        <w:t>务</w:t>
      </w:r>
      <w:r>
        <w:rPr>
          <w:rFonts w:hint="eastAsia" w:ascii="宋体" w:hAnsi="宋体" w:eastAsia="宋体" w:cs="宋体"/>
          <w:b/>
          <w:bCs/>
          <w:kern w:val="2"/>
          <w:sz w:val="36"/>
          <w:szCs w:val="36"/>
          <w:lang w:bidi="zh-TW"/>
        </w:rPr>
        <w:t xml:space="preserve"> </w:t>
      </w:r>
      <w:r>
        <w:rPr>
          <w:rFonts w:hint="eastAsia" w:ascii="宋体" w:hAnsi="宋体" w:eastAsia="宋体" w:cs="宋体"/>
          <w:b/>
          <w:bCs/>
          <w:kern w:val="2"/>
          <w:sz w:val="36"/>
          <w:szCs w:val="36"/>
          <w:lang w:val="zh-TW" w:eastAsia="zh-TW" w:bidi="zh-TW"/>
        </w:rPr>
        <w:t>合</w:t>
      </w:r>
      <w:r>
        <w:rPr>
          <w:rFonts w:hint="eastAsia" w:ascii="宋体" w:hAnsi="宋体" w:eastAsia="宋体" w:cs="宋体"/>
          <w:b/>
          <w:bCs/>
          <w:kern w:val="2"/>
          <w:sz w:val="36"/>
          <w:szCs w:val="36"/>
          <w:lang w:bidi="zh-TW"/>
        </w:rPr>
        <w:t xml:space="preserve"> </w:t>
      </w:r>
      <w:r>
        <w:rPr>
          <w:rFonts w:hint="eastAsia" w:ascii="宋体" w:hAnsi="宋体" w:eastAsia="宋体" w:cs="宋体"/>
          <w:b/>
          <w:bCs/>
          <w:kern w:val="2"/>
          <w:sz w:val="36"/>
          <w:szCs w:val="36"/>
          <w:lang w:val="zh-TW" w:eastAsia="zh-TW" w:bidi="zh-TW"/>
        </w:rPr>
        <w:t>同</w:t>
      </w:r>
      <w:bookmarkEnd w:id="4"/>
      <w:bookmarkEnd w:id="5"/>
      <w:bookmarkEnd w:id="6"/>
    </w:p>
    <w:p w14:paraId="6180D4EF">
      <w:pPr>
        <w:spacing w:line="360" w:lineRule="auto"/>
        <w:ind w:firstLine="480" w:firstLineChars="200"/>
        <w:jc w:val="left"/>
        <w:rPr>
          <w:rFonts w:hint="eastAsia" w:ascii="宋体" w:hAnsi="宋体" w:eastAsia="宋体" w:cs="宋体"/>
          <w:kern w:val="2"/>
          <w:szCs w:val="24"/>
          <w:lang w:val="zh-TW" w:bidi="zh-TW"/>
        </w:rPr>
      </w:pPr>
      <w:r>
        <w:rPr>
          <w:rFonts w:hint="eastAsia" w:ascii="宋体" w:hAnsi="宋体" w:eastAsia="宋体" w:cs="宋体"/>
          <w:kern w:val="2"/>
          <w:szCs w:val="24"/>
          <w:lang w:val="zh-TW" w:eastAsia="zh-TW" w:bidi="zh-TW"/>
        </w:rPr>
        <w:t>甲方（采购人名称全称）：</w:t>
      </w:r>
      <w:r>
        <w:rPr>
          <w:rFonts w:hint="eastAsia" w:ascii="宋体" w:hAnsi="宋体" w:eastAsia="宋体" w:cs="宋体"/>
          <w:kern w:val="2"/>
          <w:szCs w:val="24"/>
          <w:lang w:eastAsia="zh-CN" w:bidi="zh-TW"/>
        </w:rPr>
        <w:t>西安国家民用航天产业基地管理委员会</w:t>
      </w:r>
    </w:p>
    <w:p w14:paraId="4F3CC830">
      <w:pPr>
        <w:spacing w:line="360" w:lineRule="auto"/>
        <w:ind w:firstLine="480" w:firstLineChars="200"/>
        <w:jc w:val="left"/>
        <w:rPr>
          <w:rFonts w:hint="eastAsia" w:ascii="宋体" w:hAnsi="宋体" w:eastAsia="宋体" w:cs="宋体"/>
          <w:kern w:val="2"/>
          <w:szCs w:val="24"/>
          <w:lang w:val="en-US" w:eastAsia="zh-CN" w:bidi="zh-TW"/>
        </w:rPr>
      </w:pPr>
      <w:r>
        <w:rPr>
          <w:rFonts w:hint="eastAsia" w:ascii="宋体" w:hAnsi="宋体" w:eastAsia="宋体" w:cs="宋体"/>
          <w:kern w:val="2"/>
          <w:szCs w:val="24"/>
          <w:lang w:val="zh-TW" w:eastAsia="zh-TW" w:bidi="zh-TW"/>
        </w:rPr>
        <w:t>乙方（供应商名称全称）：</w:t>
      </w:r>
    </w:p>
    <w:p w14:paraId="356F777C">
      <w:pPr>
        <w:spacing w:after="100" w:line="360" w:lineRule="auto"/>
        <w:ind w:firstLine="480" w:firstLineChars="200"/>
        <w:rPr>
          <w:rFonts w:hint="eastAsia" w:ascii="宋体" w:hAnsi="宋体" w:eastAsia="宋体" w:cs="宋体"/>
          <w:kern w:val="2"/>
          <w:szCs w:val="24"/>
          <w:lang w:val="zh-TW" w:bidi="zh-TW"/>
        </w:rPr>
      </w:pPr>
      <w:r>
        <w:rPr>
          <w:rFonts w:hint="eastAsia" w:hAnsi="宋体" w:cs="宋体"/>
          <w:kern w:val="2"/>
          <w:szCs w:val="24"/>
          <w:lang w:val="en-US" w:eastAsia="zh-CN" w:bidi="zh-TW"/>
        </w:rPr>
        <w:t>本项目</w:t>
      </w:r>
      <w:r>
        <w:rPr>
          <w:rFonts w:hint="eastAsia" w:ascii="宋体" w:hAnsi="宋体" w:eastAsia="宋体" w:cs="宋体"/>
          <w:kern w:val="2"/>
          <w:szCs w:val="24"/>
          <w:lang w:val="zh-TW" w:eastAsia="zh-TW" w:bidi="zh-TW"/>
        </w:rPr>
        <w:t>按照</w:t>
      </w:r>
      <w:r>
        <w:rPr>
          <w:rFonts w:hint="eastAsia" w:ascii="宋体" w:hAnsi="宋体" w:eastAsia="宋体" w:cs="宋体"/>
          <w:kern w:val="2"/>
          <w:szCs w:val="24"/>
          <w:lang w:bidi="zh-TW"/>
        </w:rPr>
        <w:t>政府采</w:t>
      </w:r>
      <w:r>
        <w:rPr>
          <w:rFonts w:hint="eastAsia" w:ascii="宋体" w:hAnsi="宋体" w:eastAsia="宋体" w:cs="宋体"/>
          <w:kern w:val="2"/>
          <w:szCs w:val="24"/>
          <w:lang w:val="zh-TW" w:eastAsia="zh-TW" w:bidi="zh-TW"/>
        </w:rPr>
        <w:t>购程序组织竞争性磋商，确定乙方为西安国家民用航天产业基地管理委员会生态环境监测第三方服务成交供应商。依据</w:t>
      </w:r>
      <w:r>
        <w:rPr>
          <w:rFonts w:hint="eastAsia" w:ascii="宋体" w:hAnsi="宋体" w:eastAsia="宋体" w:cs="宋体"/>
          <w:kern w:val="2"/>
          <w:szCs w:val="24"/>
          <w:lang w:bidi="zh-TW"/>
        </w:rPr>
        <w:t>《</w:t>
      </w:r>
      <w:r>
        <w:rPr>
          <w:rFonts w:hint="eastAsia" w:ascii="宋体" w:hAnsi="宋体" w:eastAsia="宋体" w:cs="宋体"/>
          <w:kern w:val="2"/>
          <w:szCs w:val="24"/>
          <w:lang w:val="zh-TW" w:eastAsia="zh-TW" w:bidi="zh-TW"/>
        </w:rPr>
        <w:t>中华人民共和国政府</w:t>
      </w:r>
      <w:r>
        <w:rPr>
          <w:rFonts w:hint="eastAsia" w:ascii="宋体" w:hAnsi="宋体" w:eastAsia="宋体" w:cs="宋体"/>
          <w:kern w:val="2"/>
          <w:szCs w:val="24"/>
          <w:lang w:bidi="zh-TW"/>
        </w:rPr>
        <w:t>采购法》、</w:t>
      </w:r>
      <w:r>
        <w:rPr>
          <w:rFonts w:hint="eastAsia" w:ascii="宋体" w:hAnsi="宋体" w:eastAsia="宋体" w:cs="宋体"/>
          <w:kern w:val="2"/>
          <w:szCs w:val="24"/>
          <w:lang w:val="zh-TW" w:eastAsia="zh-TW" w:bidi="zh-TW"/>
        </w:rPr>
        <w:t>《</w:t>
      </w:r>
      <w:r>
        <w:rPr>
          <w:rFonts w:hint="eastAsia" w:ascii="宋体" w:hAnsi="宋体" w:eastAsia="宋体" w:cs="宋体"/>
          <w:kern w:val="2"/>
          <w:szCs w:val="24"/>
          <w:lang w:bidi="zh-TW"/>
        </w:rPr>
        <w:t>中</w:t>
      </w:r>
      <w:r>
        <w:rPr>
          <w:rFonts w:hint="eastAsia" w:ascii="宋体" w:hAnsi="宋体" w:eastAsia="宋体" w:cs="宋体"/>
          <w:kern w:val="2"/>
          <w:szCs w:val="24"/>
          <w:lang w:val="zh-TW" w:eastAsia="zh-TW" w:bidi="zh-TW"/>
        </w:rPr>
        <w:t>华人民共和国民法典》以及竞争性</w:t>
      </w:r>
      <w:r>
        <w:rPr>
          <w:rFonts w:hint="eastAsia" w:ascii="宋体" w:hAnsi="宋体" w:eastAsia="宋体" w:cs="宋体"/>
          <w:kern w:val="2"/>
          <w:szCs w:val="24"/>
          <w:lang w:bidi="zh-TW"/>
        </w:rPr>
        <w:t>磋商文件、</w:t>
      </w:r>
      <w:r>
        <w:rPr>
          <w:rFonts w:hint="eastAsia" w:ascii="宋体" w:hAnsi="宋体" w:eastAsia="宋体" w:cs="宋体"/>
          <w:kern w:val="2"/>
          <w:szCs w:val="24"/>
          <w:lang w:val="zh-TW" w:eastAsia="zh-TW" w:bidi="zh-TW"/>
        </w:rPr>
        <w:t>成交通知书，经甲、乙双方协商确认，达成如下合同条款</w:t>
      </w:r>
      <w:r>
        <w:rPr>
          <w:rFonts w:hint="eastAsia" w:ascii="宋体" w:hAnsi="宋体" w:eastAsia="宋体" w:cs="宋体"/>
          <w:kern w:val="2"/>
          <w:szCs w:val="24"/>
          <w:lang w:val="zh-TW" w:bidi="zh-TW"/>
        </w:rPr>
        <w:t>。</w:t>
      </w:r>
    </w:p>
    <w:p w14:paraId="73F17E78">
      <w:pPr>
        <w:spacing w:line="360" w:lineRule="auto"/>
        <w:ind w:firstLine="482" w:firstLineChars="200"/>
        <w:jc w:val="left"/>
        <w:rPr>
          <w:rFonts w:hint="default" w:ascii="宋体" w:hAnsi="宋体" w:eastAsia="宋体" w:cs="宋体"/>
          <w:kern w:val="2"/>
          <w:szCs w:val="24"/>
          <w:lang w:val="en-US" w:eastAsia="zh-CN" w:bidi="zh-TW"/>
        </w:rPr>
      </w:pPr>
      <w:r>
        <w:rPr>
          <w:rFonts w:hint="eastAsia" w:ascii="宋体" w:hAnsi="宋体" w:eastAsia="宋体" w:cs="宋体"/>
          <w:b/>
          <w:bCs/>
          <w:kern w:val="2"/>
          <w:szCs w:val="24"/>
          <w:lang w:val="zh-TW" w:eastAsia="zh-TW" w:bidi="zh-TW"/>
        </w:rPr>
        <w:t>一、</w:t>
      </w:r>
      <w:r>
        <w:rPr>
          <w:rFonts w:hint="eastAsia" w:ascii="宋体" w:hAnsi="宋体" w:eastAsia="宋体" w:cs="宋体"/>
          <w:b/>
          <w:bCs/>
          <w:kern w:val="2"/>
          <w:szCs w:val="24"/>
          <w:lang w:bidi="zh-TW"/>
        </w:rPr>
        <w:t>服务条件</w:t>
      </w:r>
      <w:r>
        <w:rPr>
          <w:rFonts w:hint="eastAsia" w:hAnsi="宋体" w:cs="宋体"/>
          <w:b/>
          <w:bCs/>
          <w:kern w:val="2"/>
          <w:szCs w:val="24"/>
          <w:lang w:val="en-US" w:eastAsia="zh-CN" w:bidi="zh-TW"/>
        </w:rPr>
        <w:t>及内容</w:t>
      </w:r>
    </w:p>
    <w:p w14:paraId="28132BA2">
      <w:pPr>
        <w:spacing w:after="100"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（一）服务地点：</w:t>
      </w:r>
    </w:p>
    <w:p w14:paraId="026A210A">
      <w:pPr>
        <w:spacing w:after="100" w:line="360" w:lineRule="auto"/>
        <w:ind w:firstLine="480" w:firstLineChars="200"/>
        <w:rPr>
          <w:rFonts w:hint="eastAsia" w:ascii="宋体" w:hAnsi="宋体" w:eastAsia="宋体" w:cs="宋体"/>
          <w:kern w:val="2"/>
          <w:szCs w:val="24"/>
          <w:lang w:val="zh-TW" w:eastAsia="zh-CN" w:bidi="zh-TW"/>
        </w:rPr>
      </w:pPr>
      <w:r>
        <w:rPr>
          <w:rFonts w:hint="eastAsia" w:ascii="宋体" w:hAnsi="宋体" w:eastAsia="宋体" w:cs="宋体"/>
          <w:kern w:val="2"/>
          <w:szCs w:val="24"/>
          <w:lang w:val="zh-TW" w:eastAsia="zh-TW" w:bidi="zh-TW"/>
        </w:rPr>
        <w:t>（二）服务期：</w:t>
      </w:r>
    </w:p>
    <w:p w14:paraId="49A2B3A5">
      <w:pPr>
        <w:spacing w:after="100" w:line="360" w:lineRule="auto"/>
        <w:ind w:firstLine="480" w:firstLineChars="200"/>
        <w:rPr>
          <w:rFonts w:hint="eastAsia"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（三）服务内容：</w:t>
      </w:r>
    </w:p>
    <w:p w14:paraId="7E25E8F8">
      <w:pPr>
        <w:spacing w:after="100" w:line="360" w:lineRule="auto"/>
        <w:ind w:firstLine="480" w:firstLineChars="200"/>
        <w:rPr>
          <w:rFonts w:hint="eastAsia"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（四）服务要求：</w:t>
      </w:r>
    </w:p>
    <w:p w14:paraId="2B825C23">
      <w:pPr>
        <w:tabs>
          <w:tab w:val="left" w:pos="6015"/>
          <w:tab w:val="left" w:pos="7407"/>
        </w:tabs>
        <w:spacing w:line="360" w:lineRule="auto"/>
        <w:ind w:firstLine="482" w:firstLineChars="200"/>
        <w:jc w:val="left"/>
        <w:rPr>
          <w:rFonts w:hint="eastAsia" w:ascii="宋体" w:hAnsi="宋体" w:eastAsia="宋体" w:cs="宋体"/>
          <w:b/>
          <w:bCs/>
          <w:kern w:val="2"/>
          <w:szCs w:val="24"/>
          <w:lang w:bidi="zh-TW"/>
        </w:rPr>
      </w:pPr>
      <w:r>
        <w:rPr>
          <w:rFonts w:hint="eastAsia" w:hAnsi="宋体" w:cs="宋体"/>
          <w:b/>
          <w:bCs/>
          <w:kern w:val="2"/>
          <w:szCs w:val="24"/>
          <w:lang w:val="en-US" w:eastAsia="zh-CN" w:bidi="zh-TW"/>
        </w:rPr>
        <w:t>二</w:t>
      </w:r>
      <w:r>
        <w:rPr>
          <w:rFonts w:hint="eastAsia" w:ascii="宋体" w:hAnsi="宋体" w:eastAsia="宋体" w:cs="宋体"/>
          <w:b/>
          <w:bCs/>
          <w:kern w:val="2"/>
          <w:szCs w:val="24"/>
          <w:lang w:bidi="zh-TW"/>
        </w:rPr>
        <w:t>、合同价款</w:t>
      </w:r>
    </w:p>
    <w:p w14:paraId="7386D6E1">
      <w:pPr>
        <w:tabs>
          <w:tab w:val="left" w:pos="6015"/>
          <w:tab w:val="left" w:pos="7407"/>
        </w:tabs>
        <w:spacing w:line="360" w:lineRule="auto"/>
        <w:ind w:firstLine="480" w:firstLineChars="200"/>
        <w:jc w:val="left"/>
        <w:rPr>
          <w:rFonts w:hint="eastAsia" w:ascii="宋体" w:hAnsi="宋体" w:eastAsia="宋体" w:cs="宋体"/>
          <w:kern w:val="2"/>
          <w:szCs w:val="24"/>
          <w:lang w:bidi="zh-TW"/>
        </w:rPr>
      </w:pPr>
      <w:r>
        <w:rPr>
          <w:rFonts w:hint="eastAsia" w:ascii="宋体" w:hAnsi="宋体" w:eastAsia="宋体" w:cs="宋体"/>
          <w:kern w:val="2"/>
          <w:szCs w:val="24"/>
          <w:lang w:bidi="zh-TW"/>
        </w:rPr>
        <w:t>1、本合同采购预算为人民币</w:t>
      </w:r>
      <w:r>
        <w:rPr>
          <w:rFonts w:hint="eastAsia" w:hAnsi="宋体" w:cs="宋体"/>
          <w:kern w:val="2"/>
          <w:szCs w:val="24"/>
          <w:lang w:val="en-US" w:eastAsia="zh-CN" w:bidi="zh-TW"/>
        </w:rPr>
        <w:t xml:space="preserve">        </w:t>
      </w:r>
      <w:r>
        <w:rPr>
          <w:rFonts w:hint="eastAsia" w:ascii="宋体" w:hAnsi="宋体" w:eastAsia="宋体" w:cs="宋体"/>
          <w:kern w:val="2"/>
          <w:szCs w:val="24"/>
          <w:lang w:bidi="zh-TW"/>
        </w:rPr>
        <w:t>元</w:t>
      </w:r>
      <w:r>
        <w:rPr>
          <w:rFonts w:hint="eastAsia" w:hAnsi="宋体" w:cs="宋体"/>
          <w:kern w:val="2"/>
          <w:szCs w:val="24"/>
          <w:lang w:val="en-US" w:eastAsia="zh-CN" w:bidi="zh-TW"/>
        </w:rPr>
        <w:t>（大写：           ）</w:t>
      </w:r>
      <w:r>
        <w:rPr>
          <w:rFonts w:hint="eastAsia" w:ascii="宋体" w:hAnsi="宋体" w:eastAsia="宋体" w:cs="宋体"/>
          <w:kern w:val="2"/>
          <w:szCs w:val="24"/>
          <w:lang w:bidi="zh-TW"/>
        </w:rPr>
        <w:t>，以实际完成工作量结合本合同约定单价进行结算</w:t>
      </w:r>
      <w:r>
        <w:rPr>
          <w:rFonts w:hint="eastAsia" w:hAnsi="宋体" w:cs="宋体"/>
          <w:kern w:val="2"/>
          <w:szCs w:val="24"/>
          <w:lang w:eastAsia="zh-CN" w:bidi="zh-TW"/>
        </w:rPr>
        <w:t>，</w:t>
      </w:r>
      <w:r>
        <w:rPr>
          <w:rFonts w:hint="eastAsia" w:hAnsi="宋体" w:cs="宋体"/>
          <w:kern w:val="2"/>
          <w:szCs w:val="24"/>
          <w:lang w:val="en-US" w:eastAsia="zh-CN" w:bidi="zh-TW"/>
        </w:rPr>
        <w:t>不超过项目预算</w:t>
      </w:r>
      <w:r>
        <w:rPr>
          <w:rFonts w:hint="eastAsia" w:ascii="宋体" w:hAnsi="宋体" w:eastAsia="宋体" w:cs="宋体"/>
          <w:kern w:val="2"/>
          <w:szCs w:val="24"/>
          <w:lang w:bidi="zh-TW"/>
        </w:rPr>
        <w:t>。</w:t>
      </w:r>
    </w:p>
    <w:p w14:paraId="61F85145">
      <w:pPr>
        <w:tabs>
          <w:tab w:val="left" w:pos="6015"/>
          <w:tab w:val="left" w:pos="7407"/>
        </w:tabs>
        <w:spacing w:line="360" w:lineRule="auto"/>
        <w:ind w:firstLine="482" w:firstLineChars="200"/>
        <w:jc w:val="left"/>
        <w:rPr>
          <w:rFonts w:hint="eastAsia" w:ascii="宋体" w:hAnsi="宋体" w:eastAsia="宋体" w:cs="宋体"/>
          <w:b/>
          <w:bCs/>
          <w:kern w:val="2"/>
          <w:szCs w:val="24"/>
          <w:lang w:bidi="zh-TW"/>
        </w:rPr>
      </w:pPr>
      <w:r>
        <w:rPr>
          <w:rFonts w:hint="eastAsia" w:hAnsi="宋体" w:cs="宋体"/>
          <w:b/>
          <w:bCs/>
          <w:kern w:val="2"/>
          <w:szCs w:val="24"/>
          <w:lang w:val="en-US" w:eastAsia="zh-CN" w:bidi="zh-TW"/>
        </w:rPr>
        <w:t>三</w:t>
      </w:r>
      <w:r>
        <w:rPr>
          <w:rFonts w:hint="eastAsia" w:ascii="宋体" w:hAnsi="宋体" w:eastAsia="宋体" w:cs="宋体"/>
          <w:b/>
          <w:bCs/>
          <w:kern w:val="2"/>
          <w:szCs w:val="24"/>
          <w:lang w:bidi="zh-TW"/>
        </w:rPr>
        <w:t>、款项结算</w:t>
      </w:r>
    </w:p>
    <w:p w14:paraId="24FF260E">
      <w:pPr>
        <w:spacing w:line="360" w:lineRule="auto"/>
        <w:ind w:firstLine="480" w:firstLineChars="200"/>
        <w:jc w:val="left"/>
        <w:rPr>
          <w:rFonts w:hint="eastAsia" w:ascii="宋体" w:hAnsi="宋体" w:eastAsia="宋体" w:cs="宋体"/>
          <w:kern w:val="0"/>
          <w:szCs w:val="24"/>
          <w:highlight w:val="none"/>
          <w:lang w:val="zh-TW" w:eastAsia="zh-TW"/>
        </w:rPr>
      </w:pPr>
      <w:r>
        <w:rPr>
          <w:rFonts w:hint="eastAsia" w:ascii="宋体" w:hAnsi="宋体" w:eastAsia="宋体" w:cs="宋体"/>
          <w:kern w:val="0"/>
          <w:szCs w:val="24"/>
          <w:highlight w:val="none"/>
          <w:lang w:val="zh-TW"/>
        </w:rPr>
        <w:t>（</w:t>
      </w:r>
      <w:r>
        <w:rPr>
          <w:rFonts w:hint="eastAsia" w:ascii="宋体" w:hAnsi="宋体" w:eastAsia="宋体" w:cs="宋体"/>
          <w:kern w:val="0"/>
          <w:szCs w:val="24"/>
          <w:highlight w:val="none"/>
        </w:rPr>
        <w:t>一</w:t>
      </w:r>
      <w:r>
        <w:rPr>
          <w:rFonts w:hint="eastAsia" w:ascii="宋体" w:hAnsi="宋体" w:eastAsia="宋体" w:cs="宋体"/>
          <w:kern w:val="0"/>
          <w:szCs w:val="24"/>
          <w:highlight w:val="none"/>
          <w:lang w:val="zh-TW"/>
        </w:rPr>
        <w:t>）</w:t>
      </w:r>
      <w:r>
        <w:rPr>
          <w:rFonts w:hint="eastAsia" w:ascii="宋体" w:hAnsi="宋体" w:eastAsia="宋体" w:cs="宋体"/>
          <w:kern w:val="0"/>
          <w:szCs w:val="24"/>
          <w:highlight w:val="none"/>
          <w:lang w:val="zh-TW" w:eastAsia="zh-TW"/>
        </w:rPr>
        <w:t>合同款的支付：</w:t>
      </w:r>
    </w:p>
    <w:p w14:paraId="2E48F399">
      <w:pPr>
        <w:spacing w:line="360" w:lineRule="auto"/>
        <w:ind w:firstLine="480" w:firstLineChars="200"/>
        <w:jc w:val="left"/>
        <w:rPr>
          <w:rFonts w:hint="default" w:ascii="宋体" w:hAnsi="宋体" w:eastAsia="宋体" w:cs="宋体"/>
          <w:kern w:val="0"/>
          <w:szCs w:val="24"/>
          <w:highlight w:val="none"/>
          <w:u w:val="single"/>
          <w:lang w:val="en-US" w:eastAsia="zh-CN"/>
        </w:rPr>
      </w:pPr>
      <w:r>
        <w:rPr>
          <w:rFonts w:hint="eastAsia" w:ascii="宋体" w:hAnsi="宋体" w:eastAsia="宋体" w:cs="宋体"/>
          <w:kern w:val="0"/>
          <w:szCs w:val="24"/>
          <w:highlight w:val="none"/>
        </w:rPr>
        <w:t>（二）</w:t>
      </w:r>
      <w:r>
        <w:rPr>
          <w:rFonts w:hint="eastAsia" w:hAnsi="宋体" w:cs="宋体"/>
          <w:kern w:val="0"/>
          <w:szCs w:val="24"/>
          <w:highlight w:val="none"/>
          <w:lang w:val="en-US" w:eastAsia="zh-CN"/>
        </w:rPr>
        <w:t>实际结算金额：按照</w:t>
      </w:r>
      <w:r>
        <w:rPr>
          <w:rFonts w:hint="eastAsia" w:ascii="宋体" w:hAnsi="宋体" w:eastAsia="宋体" w:cs="宋体"/>
          <w:kern w:val="0"/>
          <w:szCs w:val="24"/>
          <w:highlight w:val="none"/>
        </w:rPr>
        <w:t>陕西省环境监测中心站关于印发《陕西省环境监测技术服务收费标准》（陕环站字【2009】75号文件）</w:t>
      </w:r>
      <w:r>
        <w:rPr>
          <w:rFonts w:hint="eastAsia" w:hAnsi="宋体" w:cs="宋体"/>
          <w:kern w:val="0"/>
          <w:szCs w:val="24"/>
          <w:highlight w:val="none"/>
          <w:lang w:val="en-US" w:eastAsia="zh-CN"/>
        </w:rPr>
        <w:t>下浮</w:t>
      </w:r>
      <w:r>
        <w:rPr>
          <w:rFonts w:hint="eastAsia" w:hAnsi="宋体" w:cs="宋体"/>
          <w:kern w:val="0"/>
          <w:szCs w:val="24"/>
          <w:highlight w:val="none"/>
          <w:u w:val="single"/>
          <w:lang w:val="en-US" w:eastAsia="zh-CN"/>
        </w:rPr>
        <w:t xml:space="preserve">     %</w:t>
      </w:r>
      <w:r>
        <w:rPr>
          <w:rFonts w:hint="eastAsia" w:hAnsi="宋体" w:cs="宋体"/>
          <w:kern w:val="0"/>
          <w:szCs w:val="24"/>
          <w:highlight w:val="none"/>
          <w:u w:val="none"/>
          <w:lang w:val="en-US" w:eastAsia="zh-CN"/>
        </w:rPr>
        <w:t>的单价及完成工作量据实核算。</w:t>
      </w:r>
    </w:p>
    <w:p w14:paraId="001F8AD2">
      <w:pPr>
        <w:spacing w:line="360" w:lineRule="auto"/>
        <w:ind w:firstLine="480" w:firstLineChars="200"/>
        <w:jc w:val="left"/>
        <w:rPr>
          <w:rFonts w:hint="eastAsia" w:ascii="宋体" w:hAnsi="宋体" w:eastAsia="宋体" w:cs="宋体"/>
          <w:kern w:val="0"/>
          <w:szCs w:val="24"/>
          <w:lang w:val="zh-TW" w:eastAsia="zh-TW"/>
        </w:rPr>
      </w:pPr>
      <w:r>
        <w:rPr>
          <w:rFonts w:hint="eastAsia" w:ascii="宋体" w:hAnsi="宋体" w:eastAsia="宋体" w:cs="宋体"/>
          <w:kern w:val="0"/>
          <w:szCs w:val="24"/>
          <w:lang w:val="zh-TW"/>
        </w:rPr>
        <w:t>（</w:t>
      </w:r>
      <w:r>
        <w:rPr>
          <w:rFonts w:hint="eastAsia" w:ascii="宋体" w:hAnsi="宋体" w:eastAsia="宋体" w:cs="宋体"/>
          <w:kern w:val="0"/>
          <w:szCs w:val="24"/>
        </w:rPr>
        <w:t>三</w:t>
      </w:r>
      <w:r>
        <w:rPr>
          <w:rFonts w:hint="eastAsia" w:ascii="宋体" w:hAnsi="宋体" w:eastAsia="宋体" w:cs="宋体"/>
          <w:kern w:val="0"/>
          <w:szCs w:val="24"/>
          <w:lang w:val="zh-TW"/>
        </w:rPr>
        <w:t>）</w:t>
      </w:r>
      <w:r>
        <w:rPr>
          <w:rFonts w:hint="eastAsia" w:ascii="宋体" w:hAnsi="宋体" w:eastAsia="宋体" w:cs="宋体"/>
          <w:kern w:val="0"/>
          <w:szCs w:val="24"/>
        </w:rPr>
        <w:t>支付</w:t>
      </w:r>
      <w:r>
        <w:rPr>
          <w:rFonts w:hint="eastAsia" w:ascii="宋体" w:hAnsi="宋体" w:eastAsia="宋体" w:cs="宋体"/>
          <w:kern w:val="0"/>
          <w:szCs w:val="24"/>
          <w:lang w:val="zh-TW" w:eastAsia="zh-TW"/>
        </w:rPr>
        <w:t>方式：</w:t>
      </w:r>
    </w:p>
    <w:p w14:paraId="2262701E">
      <w:pPr>
        <w:spacing w:line="360" w:lineRule="auto"/>
        <w:ind w:firstLine="482" w:firstLineChars="200"/>
        <w:rPr>
          <w:rFonts w:hint="eastAsia" w:ascii="宋体" w:hAnsi="宋体" w:eastAsia="宋体" w:cs="宋体"/>
          <w:b/>
          <w:bCs/>
          <w:kern w:val="2"/>
          <w:szCs w:val="24"/>
          <w:lang w:bidi="zh-TW"/>
        </w:rPr>
      </w:pPr>
      <w:r>
        <w:rPr>
          <w:rFonts w:hint="eastAsia" w:hAnsi="宋体" w:cs="宋体"/>
          <w:b/>
          <w:bCs/>
          <w:kern w:val="2"/>
          <w:szCs w:val="24"/>
          <w:lang w:val="en-US" w:eastAsia="zh-CN" w:bidi="zh-TW"/>
        </w:rPr>
        <w:t>四</w:t>
      </w:r>
      <w:r>
        <w:rPr>
          <w:rFonts w:hint="eastAsia" w:ascii="宋体" w:hAnsi="宋体" w:eastAsia="宋体" w:cs="宋体"/>
          <w:b/>
          <w:bCs/>
          <w:kern w:val="2"/>
          <w:szCs w:val="24"/>
          <w:lang w:bidi="zh-TW"/>
        </w:rPr>
        <w:t>、双方的权利和义务</w:t>
      </w:r>
    </w:p>
    <w:p w14:paraId="0114CDF2">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（一）甲方的权利和义务</w:t>
      </w:r>
    </w:p>
    <w:p w14:paraId="26F989C3">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1、甲方有权对合同规定范围内乙方的服务行为进行监督和检查，拥有监管权。有权定期核对乙方提供服务所配备的人员数量。对甲方认为不合理的部分有权下达整改通知书，并要求乙方限期整改。</w:t>
      </w:r>
    </w:p>
    <w:p w14:paraId="04A27040">
      <w:pPr>
        <w:spacing w:line="360" w:lineRule="auto"/>
        <w:ind w:firstLine="480" w:firstLineChars="200"/>
        <w:rPr>
          <w:rFonts w:hint="eastAsia"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2、协助提供乙方编制监测方案所需的相关审批文件。</w:t>
      </w:r>
    </w:p>
    <w:p w14:paraId="53CD3CA5">
      <w:pPr>
        <w:spacing w:line="360" w:lineRule="auto"/>
        <w:ind w:firstLine="480" w:firstLineChars="200"/>
        <w:rPr>
          <w:rFonts w:hint="default"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3、提供监测实际点位，协调项目场地内监测需要的电源等，必要时协助乙方进入监测现场。</w:t>
      </w:r>
    </w:p>
    <w:p w14:paraId="0FD68CBC">
      <w:pPr>
        <w:spacing w:line="360" w:lineRule="auto"/>
        <w:ind w:firstLine="480" w:firstLineChars="200"/>
        <w:rPr>
          <w:rFonts w:hint="eastAsia" w:ascii="宋体" w:hAnsi="宋体" w:eastAsia="宋体" w:cs="宋体"/>
          <w:kern w:val="2"/>
          <w:szCs w:val="24"/>
          <w:lang w:val="zh-TW" w:bidi="zh-TW"/>
        </w:rPr>
      </w:pPr>
      <w:r>
        <w:rPr>
          <w:rFonts w:hint="eastAsia" w:hAnsi="宋体" w:cs="宋体"/>
          <w:kern w:val="2"/>
          <w:szCs w:val="24"/>
          <w:lang w:val="en-US" w:eastAsia="zh-CN" w:bidi="zh-TW"/>
        </w:rPr>
        <w:t>4</w:t>
      </w:r>
      <w:r>
        <w:rPr>
          <w:rFonts w:hint="eastAsia" w:ascii="宋体" w:hAnsi="宋体" w:eastAsia="宋体" w:cs="宋体"/>
          <w:kern w:val="2"/>
          <w:szCs w:val="24"/>
          <w:lang w:val="zh-TW" w:bidi="zh-TW"/>
        </w:rPr>
        <w:t>、负责检查监督乙方管理工作的实施及制度的执行情况。</w:t>
      </w:r>
    </w:p>
    <w:p w14:paraId="4B3863EA">
      <w:pPr>
        <w:spacing w:line="360" w:lineRule="auto"/>
        <w:ind w:firstLine="480" w:firstLineChars="200"/>
        <w:rPr>
          <w:rFonts w:hint="eastAsia" w:ascii="宋体" w:hAnsi="宋体" w:eastAsia="宋体" w:cs="宋体"/>
          <w:kern w:val="2"/>
          <w:szCs w:val="24"/>
          <w:lang w:val="zh-TW" w:bidi="zh-TW"/>
        </w:rPr>
      </w:pPr>
      <w:r>
        <w:rPr>
          <w:rFonts w:hint="eastAsia" w:hAnsi="宋体" w:cs="宋体"/>
          <w:kern w:val="2"/>
          <w:szCs w:val="24"/>
          <w:lang w:val="en-US" w:eastAsia="zh-CN" w:bidi="zh-TW"/>
        </w:rPr>
        <w:t>5</w:t>
      </w:r>
      <w:r>
        <w:rPr>
          <w:rFonts w:hint="eastAsia" w:ascii="宋体" w:hAnsi="宋体" w:eastAsia="宋体" w:cs="宋体"/>
          <w:kern w:val="2"/>
          <w:szCs w:val="24"/>
          <w:lang w:val="zh-TW" w:bidi="zh-TW"/>
        </w:rPr>
        <w:t>、根据本合同规定，按时向乙方支付应付服务费用。</w:t>
      </w:r>
    </w:p>
    <w:p w14:paraId="5BC82ECD">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en-US" w:eastAsia="zh-CN" w:bidi="zh-TW"/>
        </w:rPr>
        <w:t>6</w:t>
      </w:r>
      <w:r>
        <w:rPr>
          <w:rFonts w:hint="eastAsia" w:ascii="宋体" w:hAnsi="宋体" w:eastAsia="宋体" w:cs="宋体"/>
          <w:kern w:val="2"/>
          <w:szCs w:val="24"/>
          <w:lang w:val="zh-TW" w:bidi="zh-TW"/>
        </w:rPr>
        <w:t>、国家法律、法规所规定由甲方承担的其它责任。</w:t>
      </w:r>
    </w:p>
    <w:p w14:paraId="7F7A5B97">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（二）乙方的权利和义务</w:t>
      </w:r>
    </w:p>
    <w:p w14:paraId="6A19D26F">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1、对本合同规定的委托服务范围内的项目享有管理权及服务义务。</w:t>
      </w:r>
    </w:p>
    <w:p w14:paraId="64C48816">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2、根据本合同的规定向甲方收取相关服务费用，并有权在本项目管理范围内管理及合理使用。</w:t>
      </w:r>
    </w:p>
    <w:p w14:paraId="7EE0F488">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3、及时向甲方通告本项目服务范围内有关服务的重大事项，及时配合处理投诉。</w:t>
      </w:r>
    </w:p>
    <w:p w14:paraId="71467E58">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4、在检测过程中接受项目行业管理部门及政府有关部门的指导，接受甲方的监督。</w:t>
      </w:r>
    </w:p>
    <w:p w14:paraId="75A4752D">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5、国家法律、法规所规定由乙方承担的其它责任。</w:t>
      </w:r>
    </w:p>
    <w:p w14:paraId="1B17798E">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6、所有监测项目按照国家法律法规以及有关技术规范监测并编制正式报告，确保达到</w:t>
      </w:r>
      <w:r>
        <w:rPr>
          <w:rFonts w:hint="eastAsia" w:hAnsi="宋体" w:cs="宋体"/>
          <w:kern w:val="2"/>
          <w:szCs w:val="24"/>
          <w:lang w:val="en-US" w:eastAsia="zh-CN" w:bidi="zh-TW"/>
        </w:rPr>
        <w:t>监测工作</w:t>
      </w:r>
      <w:r>
        <w:rPr>
          <w:rFonts w:hint="eastAsia" w:ascii="宋体" w:hAnsi="宋体" w:eastAsia="宋体" w:cs="宋体"/>
          <w:kern w:val="2"/>
          <w:szCs w:val="24"/>
          <w:lang w:val="zh-TW" w:bidi="zh-TW"/>
        </w:rPr>
        <w:t>要求。</w:t>
      </w:r>
    </w:p>
    <w:p w14:paraId="57663712">
      <w:pPr>
        <w:spacing w:line="360" w:lineRule="auto"/>
        <w:ind w:firstLine="480" w:firstLineChars="200"/>
        <w:rPr>
          <w:rFonts w:hint="eastAsia" w:ascii="宋体" w:hAnsi="宋体" w:eastAsia="宋体" w:cs="宋体"/>
          <w:kern w:val="2"/>
          <w:szCs w:val="24"/>
          <w:highlight w:val="yellow"/>
          <w:lang w:val="zh-TW" w:eastAsia="zh-CN" w:bidi="zh-TW"/>
        </w:rPr>
      </w:pPr>
      <w:r>
        <w:rPr>
          <w:rFonts w:hint="eastAsia" w:hAnsi="宋体" w:cs="宋体"/>
          <w:kern w:val="2"/>
          <w:szCs w:val="24"/>
          <w:lang w:val="en-US" w:eastAsia="zh-CN" w:bidi="zh-TW"/>
        </w:rPr>
        <w:t>7、</w:t>
      </w:r>
      <w:r>
        <w:rPr>
          <w:rFonts w:hint="eastAsia" w:ascii="宋体" w:hAnsi="宋体" w:eastAsia="宋体" w:cs="宋体"/>
          <w:kern w:val="2"/>
          <w:szCs w:val="24"/>
          <w:lang w:val="zh-TW" w:bidi="zh-TW"/>
        </w:rPr>
        <w:t>乙方在进行检测鉴定过程中，需遵守甲方的规章制度，接受甲方现场安排与协调。</w:t>
      </w:r>
    </w:p>
    <w:p w14:paraId="64A4A0A8">
      <w:pPr>
        <w:spacing w:line="360" w:lineRule="auto"/>
        <w:ind w:firstLine="480" w:firstLineChars="200"/>
        <w:rPr>
          <w:rFonts w:hint="eastAsia" w:ascii="宋体" w:hAnsi="宋体" w:eastAsia="宋体" w:cs="宋体"/>
          <w:kern w:val="2"/>
          <w:szCs w:val="24"/>
          <w:lang w:val="zh-TW" w:bidi="zh-TW"/>
        </w:rPr>
      </w:pPr>
      <w:r>
        <w:rPr>
          <w:rFonts w:hint="eastAsia" w:ascii="宋体" w:hAnsi="宋体" w:eastAsia="宋体" w:cs="宋体"/>
          <w:kern w:val="2"/>
          <w:szCs w:val="24"/>
          <w:lang w:val="zh-TW" w:bidi="zh-TW"/>
        </w:rPr>
        <w:t>8、如因乙方原因导致检测鉴定工作无法开展，乙方应承担相应的责任，并采取积极的补救措施。</w:t>
      </w:r>
    </w:p>
    <w:p w14:paraId="0754F6B9">
      <w:pPr>
        <w:spacing w:line="360" w:lineRule="auto"/>
        <w:ind w:firstLine="480" w:firstLineChars="200"/>
        <w:rPr>
          <w:rFonts w:hint="eastAsia" w:hAnsi="宋体" w:cs="宋体"/>
          <w:kern w:val="2"/>
          <w:szCs w:val="24"/>
          <w:highlight w:val="none"/>
          <w:lang w:val="en-US" w:eastAsia="zh-CN" w:bidi="zh-TW"/>
        </w:rPr>
      </w:pPr>
      <w:r>
        <w:rPr>
          <w:rFonts w:hint="eastAsia" w:ascii="宋体" w:hAnsi="宋体" w:eastAsia="宋体" w:cs="宋体"/>
          <w:kern w:val="2"/>
          <w:szCs w:val="24"/>
          <w:highlight w:val="none"/>
          <w:lang w:val="zh-TW" w:bidi="zh-TW"/>
        </w:rPr>
        <w:t>9、</w:t>
      </w:r>
      <w:r>
        <w:rPr>
          <w:rFonts w:hint="eastAsia" w:hAnsi="宋体" w:cs="宋体"/>
          <w:kern w:val="2"/>
          <w:szCs w:val="24"/>
          <w:highlight w:val="none"/>
          <w:lang w:val="en-US" w:eastAsia="zh-CN" w:bidi="zh-TW"/>
        </w:rPr>
        <w:t>在甲方因工作需要需技术支持时，乙方应按照甲方需求无偿提供技术支持。</w:t>
      </w:r>
    </w:p>
    <w:p w14:paraId="6AB236AA">
      <w:pPr>
        <w:spacing w:line="360" w:lineRule="auto"/>
        <w:ind w:firstLine="480" w:firstLineChars="200"/>
        <w:rPr>
          <w:rFonts w:hint="default" w:eastAsia="宋体"/>
          <w:lang w:val="en-US" w:eastAsia="zh-CN"/>
        </w:rPr>
      </w:pPr>
      <w:r>
        <w:rPr>
          <w:rFonts w:hint="eastAsia" w:ascii="宋体" w:hAnsi="宋体" w:cs="宋体"/>
          <w:kern w:val="2"/>
          <w:szCs w:val="24"/>
          <w:lang w:val="en-US" w:eastAsia="zh-CN" w:bidi="zh-TW"/>
        </w:rPr>
        <w:t>10、</w:t>
      </w:r>
      <w:r>
        <w:rPr>
          <w:rFonts w:hint="eastAsia" w:ascii="宋体" w:hAnsi="宋体" w:eastAsia="宋体" w:cs="宋体"/>
          <w:kern w:val="2"/>
          <w:szCs w:val="24"/>
          <w:lang w:val="zh-TW" w:bidi="zh-TW"/>
        </w:rPr>
        <w:t>在检测工作开展过程中，如出现意外事故，由乙方自行承担。</w:t>
      </w:r>
    </w:p>
    <w:p w14:paraId="357B9B7E">
      <w:pPr>
        <w:spacing w:line="360" w:lineRule="auto"/>
        <w:ind w:firstLine="482" w:firstLineChars="200"/>
        <w:rPr>
          <w:rFonts w:hint="eastAsia" w:ascii="宋体" w:hAnsi="宋体" w:eastAsia="宋体" w:cs="宋体"/>
          <w:b/>
          <w:bCs/>
          <w:kern w:val="2"/>
          <w:szCs w:val="24"/>
          <w:lang w:bidi="zh-TW"/>
        </w:rPr>
      </w:pPr>
      <w:r>
        <w:rPr>
          <w:rFonts w:hint="eastAsia" w:hAnsi="宋体" w:cs="宋体"/>
          <w:b/>
          <w:bCs/>
          <w:kern w:val="2"/>
          <w:szCs w:val="24"/>
          <w:lang w:val="en-US" w:eastAsia="zh-CN" w:bidi="zh-TW"/>
        </w:rPr>
        <w:t>五</w:t>
      </w:r>
      <w:r>
        <w:rPr>
          <w:rFonts w:hint="eastAsia" w:ascii="宋体" w:hAnsi="宋体" w:eastAsia="宋体" w:cs="宋体"/>
          <w:b/>
          <w:bCs/>
          <w:kern w:val="2"/>
          <w:szCs w:val="24"/>
          <w:lang w:bidi="zh-TW"/>
        </w:rPr>
        <w:t>、质量保证</w:t>
      </w:r>
    </w:p>
    <w:p w14:paraId="188935C6">
      <w:pPr>
        <w:numPr>
          <w:ilvl w:val="0"/>
          <w:numId w:val="2"/>
        </w:numPr>
        <w:spacing w:line="360" w:lineRule="auto"/>
        <w:ind w:firstLine="480" w:firstLineChars="200"/>
        <w:rPr>
          <w:rFonts w:hint="eastAsia" w:ascii="宋体" w:hAnsi="宋体" w:eastAsia="宋体" w:cs="宋体"/>
          <w:kern w:val="2"/>
          <w:szCs w:val="24"/>
          <w:lang w:bidi="zh-TW"/>
        </w:rPr>
      </w:pPr>
      <w:r>
        <w:rPr>
          <w:rFonts w:hint="eastAsia" w:hAnsi="宋体" w:cs="宋体"/>
          <w:kern w:val="2"/>
          <w:szCs w:val="24"/>
          <w:lang w:val="en-US" w:eastAsia="zh-CN" w:bidi="zh-TW"/>
        </w:rPr>
        <w:t>技术质量服务要求</w:t>
      </w:r>
      <w:r>
        <w:rPr>
          <w:rFonts w:hint="eastAsia" w:ascii="宋体" w:hAnsi="宋体" w:eastAsia="宋体" w:cs="宋体"/>
          <w:kern w:val="2"/>
          <w:szCs w:val="24"/>
          <w:lang w:bidi="zh-TW"/>
        </w:rPr>
        <w:t>：</w:t>
      </w:r>
    </w:p>
    <w:p w14:paraId="71AA6726">
      <w:pPr>
        <w:numPr>
          <w:ilvl w:val="0"/>
          <w:numId w:val="0"/>
        </w:numPr>
        <w:spacing w:line="360" w:lineRule="auto"/>
        <w:ind w:firstLine="480" w:firstLineChars="200"/>
        <w:rPr>
          <w:rFonts w:hint="eastAsia" w:ascii="宋体" w:hAnsi="宋体" w:eastAsia="宋体" w:cs="宋体"/>
          <w:kern w:val="2"/>
          <w:szCs w:val="24"/>
          <w:lang w:eastAsia="zh-CN" w:bidi="zh-TW"/>
        </w:rPr>
      </w:pPr>
      <w:r>
        <w:rPr>
          <w:rFonts w:hint="eastAsia" w:ascii="宋体" w:hAnsi="宋体" w:eastAsia="宋体" w:cs="宋体"/>
          <w:kern w:val="2"/>
          <w:szCs w:val="24"/>
          <w:lang w:eastAsia="zh-CN" w:bidi="zh-TW"/>
        </w:rPr>
        <w:t>采样和分析方法：废水、废气、环境空气、地表水、地下水、噪声、土壤、固体废物、底质、辐射的采样、分析方法按现行有效的国家标准、行业标准、地方标准和国家有关规定的要求。</w:t>
      </w:r>
    </w:p>
    <w:p w14:paraId="31D2C6F2">
      <w:pPr>
        <w:numPr>
          <w:ilvl w:val="0"/>
          <w:numId w:val="0"/>
        </w:numPr>
        <w:spacing w:line="360" w:lineRule="auto"/>
        <w:ind w:firstLine="480" w:firstLineChars="200"/>
        <w:rPr>
          <w:rFonts w:hint="eastAsia" w:ascii="宋体" w:hAnsi="宋体" w:eastAsia="宋体" w:cs="宋体"/>
          <w:kern w:val="2"/>
          <w:szCs w:val="24"/>
          <w:highlight w:val="none"/>
          <w:lang w:eastAsia="zh-CN" w:bidi="zh-TW"/>
        </w:rPr>
      </w:pPr>
      <w:r>
        <w:rPr>
          <w:rFonts w:hint="eastAsia" w:ascii="宋体" w:hAnsi="宋体" w:eastAsia="宋体" w:cs="宋体"/>
          <w:kern w:val="2"/>
          <w:szCs w:val="24"/>
          <w:lang w:eastAsia="zh-CN" w:bidi="zh-TW"/>
        </w:rPr>
        <w:t>质量管理要求：按照《关于加强全省重点污染源监督性监测质量控制工作的通知（陕环办发(2011)78号）、《国控重点污染源监测质量核查办法》（总站统字〔2010〕191号）、《陕西省环境监测质量管理规定(试行)》、环境监测质量管理技术导则（HJ 630-2011）、监测项</w:t>
      </w:r>
      <w:r>
        <w:rPr>
          <w:rFonts w:hint="eastAsia" w:ascii="宋体" w:hAnsi="宋体" w:eastAsia="宋体" w:cs="宋体"/>
          <w:kern w:val="2"/>
          <w:szCs w:val="24"/>
          <w:highlight w:val="none"/>
          <w:lang w:eastAsia="zh-CN" w:bidi="zh-TW"/>
        </w:rPr>
        <w:t>目标准技术方法的质量保证和质量控制等国家、省、市颁布的监测质量管理文件的要求执行。须定期开展质量检查、每批次增加平行样、空白样、密码样、保存监测全过程视频资料等。</w:t>
      </w:r>
    </w:p>
    <w:p w14:paraId="06175759">
      <w:pPr>
        <w:numPr>
          <w:ilvl w:val="0"/>
          <w:numId w:val="0"/>
        </w:numPr>
        <w:spacing w:line="360" w:lineRule="auto"/>
        <w:ind w:firstLine="480" w:firstLineChars="200"/>
        <w:rPr>
          <w:rFonts w:hint="eastAsia" w:ascii="宋体" w:hAnsi="宋体" w:eastAsia="宋体" w:cs="宋体"/>
          <w:kern w:val="2"/>
          <w:szCs w:val="24"/>
          <w:highlight w:val="none"/>
          <w:lang w:eastAsia="zh-CN" w:bidi="zh-TW"/>
        </w:rPr>
      </w:pPr>
      <w:r>
        <w:rPr>
          <w:rFonts w:hint="eastAsia" w:ascii="宋体" w:hAnsi="宋体" w:eastAsia="宋体" w:cs="宋体"/>
          <w:kern w:val="2"/>
          <w:szCs w:val="24"/>
          <w:highlight w:val="none"/>
          <w:lang w:eastAsia="zh-CN" w:bidi="zh-TW"/>
        </w:rPr>
        <w:t>项目验收过程中，需核查所有原始记录、视频资料及其他质控措施结果，保存必要素材作为项目验收支撑材料。</w:t>
      </w:r>
    </w:p>
    <w:p w14:paraId="480E2865">
      <w:pPr>
        <w:spacing w:line="360" w:lineRule="auto"/>
        <w:ind w:firstLine="480" w:firstLineChars="200"/>
        <w:rPr>
          <w:rFonts w:hint="eastAsia" w:ascii="宋体" w:hAnsi="宋体" w:eastAsia="宋体" w:cs="宋体"/>
          <w:kern w:val="2"/>
          <w:szCs w:val="24"/>
          <w:lang w:bidi="zh-TW"/>
        </w:rPr>
      </w:pPr>
      <w:r>
        <w:rPr>
          <w:rFonts w:hint="eastAsia" w:hAnsi="宋体" w:cs="宋体"/>
          <w:kern w:val="2"/>
          <w:szCs w:val="24"/>
          <w:lang w:eastAsia="zh-CN" w:bidi="zh-TW"/>
        </w:rPr>
        <w:t>（</w:t>
      </w:r>
      <w:r>
        <w:rPr>
          <w:rFonts w:hint="eastAsia" w:hAnsi="宋体" w:cs="宋体"/>
          <w:kern w:val="2"/>
          <w:szCs w:val="24"/>
          <w:lang w:val="en-US" w:eastAsia="zh-CN" w:bidi="zh-TW"/>
        </w:rPr>
        <w:t>二</w:t>
      </w:r>
      <w:r>
        <w:rPr>
          <w:rFonts w:hint="eastAsia" w:hAnsi="宋体" w:cs="宋体"/>
          <w:kern w:val="2"/>
          <w:szCs w:val="24"/>
          <w:lang w:eastAsia="zh-CN" w:bidi="zh-TW"/>
        </w:rPr>
        <w:t>）</w:t>
      </w:r>
      <w:r>
        <w:rPr>
          <w:rFonts w:hint="eastAsia" w:ascii="宋体" w:hAnsi="宋体" w:eastAsia="宋体" w:cs="宋体"/>
          <w:kern w:val="2"/>
          <w:szCs w:val="24"/>
          <w:lang w:bidi="zh-TW"/>
        </w:rPr>
        <w:t>乙方所供服务必须执行下列条款：</w:t>
      </w:r>
    </w:p>
    <w:p w14:paraId="64228C53">
      <w:pPr>
        <w:numPr>
          <w:ilvl w:val="0"/>
          <w:numId w:val="0"/>
        </w:numPr>
        <w:spacing w:line="360" w:lineRule="auto"/>
        <w:ind w:firstLine="480" w:firstLineChars="200"/>
        <w:rPr>
          <w:rFonts w:hint="eastAsia" w:ascii="宋体" w:hAnsi="宋体" w:eastAsia="宋体" w:cs="宋体"/>
          <w:kern w:val="2"/>
          <w:szCs w:val="24"/>
          <w:lang w:bidi="zh-TW"/>
        </w:rPr>
      </w:pPr>
      <w:r>
        <w:rPr>
          <w:rFonts w:hint="eastAsia" w:hAnsi="宋体" w:cs="宋体"/>
          <w:kern w:val="2"/>
          <w:szCs w:val="24"/>
          <w:lang w:eastAsia="zh-CN" w:bidi="zh-TW"/>
        </w:rPr>
        <w:t>（</w:t>
      </w:r>
      <w:r>
        <w:rPr>
          <w:rFonts w:hint="eastAsia" w:hAnsi="宋体" w:cs="宋体"/>
          <w:kern w:val="2"/>
          <w:szCs w:val="24"/>
          <w:lang w:val="en-US" w:eastAsia="zh-CN" w:bidi="zh-TW"/>
        </w:rPr>
        <w:t>1</w:t>
      </w:r>
      <w:r>
        <w:rPr>
          <w:rFonts w:hint="eastAsia" w:hAnsi="宋体" w:cs="宋体"/>
          <w:kern w:val="2"/>
          <w:szCs w:val="24"/>
          <w:lang w:eastAsia="zh-CN" w:bidi="zh-TW"/>
        </w:rPr>
        <w:t>）</w:t>
      </w:r>
      <w:r>
        <w:rPr>
          <w:rFonts w:hint="eastAsia" w:ascii="宋体" w:hAnsi="宋体" w:eastAsia="宋体" w:cs="宋体"/>
          <w:kern w:val="2"/>
          <w:szCs w:val="24"/>
          <w:lang w:bidi="zh-TW"/>
        </w:rPr>
        <w:t>服务方案和方式科学、可行，人员配置合理，全面满足要求。</w:t>
      </w:r>
    </w:p>
    <w:p w14:paraId="36637E58">
      <w:pPr>
        <w:spacing w:line="360" w:lineRule="auto"/>
        <w:ind w:firstLine="480" w:firstLineChars="200"/>
        <w:rPr>
          <w:rFonts w:hint="eastAsia" w:ascii="宋体" w:hAnsi="宋体" w:eastAsia="宋体" w:cs="宋体"/>
          <w:kern w:val="2"/>
          <w:szCs w:val="24"/>
          <w:lang w:bidi="zh-TW"/>
        </w:rPr>
      </w:pPr>
      <w:r>
        <w:rPr>
          <w:rFonts w:hint="eastAsia" w:ascii="宋体" w:hAnsi="宋体" w:eastAsia="宋体" w:cs="宋体"/>
          <w:kern w:val="2"/>
          <w:szCs w:val="24"/>
          <w:lang w:eastAsia="zh-CN" w:bidi="zh-TW"/>
        </w:rPr>
        <w:t>（</w:t>
      </w:r>
      <w:r>
        <w:rPr>
          <w:rFonts w:hint="eastAsia" w:hAnsi="宋体" w:cs="宋体"/>
          <w:kern w:val="2"/>
          <w:szCs w:val="24"/>
          <w:lang w:val="en-US" w:eastAsia="zh-CN" w:bidi="zh-TW"/>
        </w:rPr>
        <w:t>2</w:t>
      </w:r>
      <w:r>
        <w:rPr>
          <w:rFonts w:hint="eastAsia" w:ascii="宋体" w:hAnsi="宋体" w:eastAsia="宋体" w:cs="宋体"/>
          <w:kern w:val="2"/>
          <w:szCs w:val="24"/>
          <w:lang w:eastAsia="zh-CN" w:bidi="zh-TW"/>
        </w:rPr>
        <w:t>）</w:t>
      </w:r>
      <w:r>
        <w:rPr>
          <w:rFonts w:hint="eastAsia" w:ascii="宋体" w:hAnsi="宋体" w:eastAsia="宋体" w:cs="宋体"/>
          <w:kern w:val="2"/>
          <w:szCs w:val="24"/>
          <w:lang w:bidi="zh-TW"/>
        </w:rPr>
        <w:t>符合国家有关服务规范要求，确保各项服务达到最佳运行效果。</w:t>
      </w:r>
    </w:p>
    <w:p w14:paraId="76E4681B">
      <w:pPr>
        <w:spacing w:line="360" w:lineRule="auto"/>
        <w:ind w:firstLine="480" w:firstLineChars="200"/>
        <w:rPr>
          <w:rFonts w:hint="eastAsia" w:ascii="宋体" w:hAnsi="宋体" w:eastAsia="宋体" w:cs="宋体"/>
          <w:kern w:val="2"/>
          <w:szCs w:val="24"/>
          <w:lang w:bidi="zh-TW"/>
        </w:rPr>
      </w:pPr>
      <w:r>
        <w:rPr>
          <w:rFonts w:hint="eastAsia" w:ascii="宋体" w:hAnsi="宋体" w:eastAsia="宋体" w:cs="宋体"/>
          <w:kern w:val="2"/>
          <w:szCs w:val="24"/>
          <w:lang w:eastAsia="zh-CN" w:bidi="zh-TW"/>
        </w:rPr>
        <w:t>（</w:t>
      </w:r>
      <w:r>
        <w:rPr>
          <w:rFonts w:hint="eastAsia" w:hAnsi="宋体" w:cs="宋体"/>
          <w:kern w:val="2"/>
          <w:szCs w:val="24"/>
          <w:lang w:val="en-US" w:eastAsia="zh-CN" w:bidi="zh-TW"/>
        </w:rPr>
        <w:t>3</w:t>
      </w:r>
      <w:r>
        <w:rPr>
          <w:rFonts w:hint="eastAsia" w:ascii="宋体" w:hAnsi="宋体" w:eastAsia="宋体" w:cs="宋体"/>
          <w:kern w:val="2"/>
          <w:szCs w:val="24"/>
          <w:lang w:eastAsia="zh-CN" w:bidi="zh-TW"/>
        </w:rPr>
        <w:t>）</w:t>
      </w:r>
      <w:r>
        <w:rPr>
          <w:rFonts w:hint="eastAsia" w:ascii="宋体" w:hAnsi="宋体" w:eastAsia="宋体" w:cs="宋体"/>
          <w:kern w:val="2"/>
          <w:szCs w:val="24"/>
          <w:lang w:bidi="zh-TW"/>
        </w:rPr>
        <w:t>乙方提供的服务，若发生侵权而产生的一切后果，由乙方负责。甲方保留索赔权。</w:t>
      </w:r>
    </w:p>
    <w:p w14:paraId="779D52AE">
      <w:pPr>
        <w:spacing w:line="360" w:lineRule="auto"/>
        <w:ind w:firstLine="482" w:firstLineChars="200"/>
        <w:rPr>
          <w:rFonts w:hint="eastAsia" w:hAnsi="宋体" w:cs="宋体"/>
          <w:b/>
          <w:bCs/>
          <w:kern w:val="2"/>
          <w:szCs w:val="24"/>
          <w:lang w:val="en-US" w:eastAsia="zh-CN" w:bidi="zh-TW"/>
        </w:rPr>
      </w:pPr>
      <w:r>
        <w:rPr>
          <w:rFonts w:hint="eastAsia" w:hAnsi="宋体" w:cs="宋体"/>
          <w:b/>
          <w:bCs/>
          <w:kern w:val="2"/>
          <w:szCs w:val="24"/>
          <w:lang w:val="en-US" w:eastAsia="zh-CN" w:bidi="zh-TW"/>
        </w:rPr>
        <w:t>六、保密义务</w:t>
      </w:r>
    </w:p>
    <w:p w14:paraId="4CC885F0">
      <w:pPr>
        <w:tabs>
          <w:tab w:val="left" w:pos="1438"/>
        </w:tabs>
        <w:spacing w:line="360" w:lineRule="auto"/>
        <w:ind w:firstLine="480" w:firstLineChars="200"/>
        <w:rPr>
          <w:rFonts w:hint="eastAsia" w:ascii="宋体" w:hAnsi="宋体" w:eastAsia="宋体" w:cs="宋体"/>
          <w:kern w:val="2"/>
          <w:szCs w:val="24"/>
          <w:lang w:val="en-US" w:eastAsia="zh-CN" w:bidi="zh-TW"/>
        </w:rPr>
      </w:pPr>
      <w:r>
        <w:rPr>
          <w:rFonts w:hint="eastAsia" w:hAnsi="宋体" w:cs="宋体"/>
          <w:kern w:val="2"/>
          <w:szCs w:val="24"/>
          <w:lang w:val="en-US" w:eastAsia="zh-CN" w:bidi="zh-TW"/>
        </w:rPr>
        <w:t>（一）</w:t>
      </w:r>
      <w:r>
        <w:rPr>
          <w:rFonts w:hint="eastAsia" w:ascii="宋体" w:hAnsi="宋体" w:eastAsia="宋体" w:cs="宋体"/>
          <w:kern w:val="2"/>
          <w:szCs w:val="24"/>
          <w:lang w:val="en-US" w:eastAsia="zh-CN" w:bidi="zh-TW"/>
        </w:rPr>
        <w:t>保密内容(包括技术信息和经营信息)</w:t>
      </w:r>
      <w:r>
        <w:rPr>
          <w:rFonts w:hint="eastAsia" w:hAnsi="宋体" w:cs="宋体"/>
          <w:kern w:val="2"/>
          <w:szCs w:val="24"/>
          <w:lang w:val="en-US" w:eastAsia="zh-CN" w:bidi="zh-TW"/>
        </w:rPr>
        <w:t>：</w:t>
      </w:r>
      <w:r>
        <w:rPr>
          <w:rFonts w:hint="eastAsia" w:ascii="宋体" w:hAnsi="宋体" w:eastAsia="宋体" w:cs="宋体"/>
          <w:kern w:val="2"/>
          <w:szCs w:val="24"/>
          <w:lang w:val="en-US" w:eastAsia="zh-CN" w:bidi="zh-TW"/>
        </w:rPr>
        <w:t>未经</w:t>
      </w:r>
      <w:r>
        <w:rPr>
          <w:rFonts w:hint="eastAsia" w:hAnsi="宋体" w:cs="宋体"/>
          <w:kern w:val="2"/>
          <w:szCs w:val="24"/>
          <w:lang w:val="en-US" w:eastAsia="zh-CN" w:bidi="zh-TW"/>
        </w:rPr>
        <w:t>双方</w:t>
      </w:r>
      <w:r>
        <w:rPr>
          <w:rFonts w:hint="eastAsia" w:ascii="宋体" w:hAnsi="宋体" w:eastAsia="宋体" w:cs="宋体"/>
          <w:kern w:val="2"/>
          <w:szCs w:val="24"/>
          <w:lang w:val="en-US" w:eastAsia="zh-CN" w:bidi="zh-TW"/>
        </w:rPr>
        <w:t>同意，不得向第三方提供开展工作的技术方法</w:t>
      </w:r>
      <w:r>
        <w:rPr>
          <w:rFonts w:hint="eastAsia" w:hAnsi="宋体" w:cs="宋体"/>
          <w:kern w:val="2"/>
          <w:szCs w:val="24"/>
          <w:lang w:val="en-US" w:eastAsia="zh-CN" w:bidi="zh-TW"/>
        </w:rPr>
        <w:t>及监测数据</w:t>
      </w:r>
      <w:r>
        <w:rPr>
          <w:rFonts w:hint="eastAsia" w:ascii="宋体" w:hAnsi="宋体" w:eastAsia="宋体" w:cs="宋体"/>
          <w:kern w:val="2"/>
          <w:szCs w:val="24"/>
          <w:lang w:val="en-US" w:eastAsia="zh-CN" w:bidi="zh-TW"/>
        </w:rPr>
        <w:t>。</w:t>
      </w:r>
    </w:p>
    <w:p w14:paraId="2174FAE1">
      <w:pPr>
        <w:tabs>
          <w:tab w:val="left" w:pos="1438"/>
        </w:tabs>
        <w:spacing w:line="360" w:lineRule="auto"/>
        <w:ind w:firstLine="480" w:firstLineChars="200"/>
        <w:rPr>
          <w:rFonts w:hint="eastAsia"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w:t>
      </w:r>
      <w:r>
        <w:rPr>
          <w:rFonts w:hint="eastAsia" w:hAnsi="宋体" w:cs="宋体"/>
          <w:kern w:val="2"/>
          <w:szCs w:val="24"/>
          <w:lang w:val="en-US" w:eastAsia="zh-CN" w:bidi="zh-TW"/>
        </w:rPr>
        <w:t>二</w:t>
      </w:r>
      <w:r>
        <w:rPr>
          <w:rFonts w:hint="eastAsia" w:ascii="宋体" w:hAnsi="宋体" w:eastAsia="宋体" w:cs="宋体"/>
          <w:kern w:val="2"/>
          <w:szCs w:val="24"/>
          <w:lang w:val="en-US" w:eastAsia="zh-CN" w:bidi="zh-TW"/>
        </w:rPr>
        <w:t>）涉密人员范围:能接触到资料的所有人员。</w:t>
      </w:r>
    </w:p>
    <w:p w14:paraId="457452DA">
      <w:pPr>
        <w:tabs>
          <w:tab w:val="left" w:pos="1438"/>
        </w:tabs>
        <w:spacing w:line="360" w:lineRule="auto"/>
        <w:ind w:firstLine="480" w:firstLineChars="200"/>
        <w:rPr>
          <w:rFonts w:hint="eastAsia"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w:t>
      </w:r>
      <w:r>
        <w:rPr>
          <w:rFonts w:hint="eastAsia" w:hAnsi="宋体" w:cs="宋体"/>
          <w:kern w:val="2"/>
          <w:szCs w:val="24"/>
          <w:lang w:val="en-US" w:eastAsia="zh-CN" w:bidi="zh-TW"/>
        </w:rPr>
        <w:t>三</w:t>
      </w:r>
      <w:r>
        <w:rPr>
          <w:rFonts w:hint="eastAsia" w:ascii="宋体" w:hAnsi="宋体" w:eastAsia="宋体" w:cs="宋体"/>
          <w:kern w:val="2"/>
          <w:szCs w:val="24"/>
          <w:lang w:val="en-US" w:eastAsia="zh-CN" w:bidi="zh-TW"/>
        </w:rPr>
        <w:t>）保密期限:永久保密。</w:t>
      </w:r>
    </w:p>
    <w:p w14:paraId="3F55A250">
      <w:pPr>
        <w:tabs>
          <w:tab w:val="left" w:pos="1438"/>
        </w:tabs>
        <w:spacing w:line="360" w:lineRule="auto"/>
        <w:ind w:firstLine="480" w:firstLineChars="200"/>
        <w:rPr>
          <w:rFonts w:hint="default" w:ascii="宋体" w:hAnsi="宋体" w:eastAsia="宋体" w:cs="宋体"/>
          <w:kern w:val="2"/>
          <w:szCs w:val="24"/>
          <w:lang w:val="en-US" w:eastAsia="zh-CN" w:bidi="zh-TW"/>
        </w:rPr>
      </w:pPr>
      <w:r>
        <w:rPr>
          <w:rFonts w:hint="eastAsia" w:ascii="宋体" w:hAnsi="宋体" w:eastAsia="宋体" w:cs="宋体"/>
          <w:kern w:val="2"/>
          <w:szCs w:val="24"/>
          <w:lang w:val="en-US" w:eastAsia="zh-CN" w:bidi="zh-TW"/>
        </w:rPr>
        <w:t>（</w:t>
      </w:r>
      <w:r>
        <w:rPr>
          <w:rFonts w:hint="eastAsia" w:hAnsi="宋体" w:cs="宋体"/>
          <w:kern w:val="2"/>
          <w:szCs w:val="24"/>
          <w:lang w:val="en-US" w:eastAsia="zh-CN" w:bidi="zh-TW"/>
        </w:rPr>
        <w:t>四</w:t>
      </w:r>
      <w:r>
        <w:rPr>
          <w:rFonts w:hint="eastAsia" w:ascii="宋体" w:hAnsi="宋体" w:eastAsia="宋体" w:cs="宋体"/>
          <w:kern w:val="2"/>
          <w:szCs w:val="24"/>
          <w:lang w:val="en-US" w:eastAsia="zh-CN" w:bidi="zh-TW"/>
        </w:rPr>
        <w:t>）泄密责任:按国家有关规定处理</w:t>
      </w:r>
      <w:r>
        <w:rPr>
          <w:rFonts w:hint="eastAsia" w:hAnsi="宋体" w:cs="宋体"/>
          <w:kern w:val="2"/>
          <w:szCs w:val="24"/>
          <w:lang w:val="en-US" w:eastAsia="zh-CN" w:bidi="zh-TW"/>
        </w:rPr>
        <w:t>。</w:t>
      </w:r>
    </w:p>
    <w:p w14:paraId="6083A707">
      <w:pPr>
        <w:spacing w:line="360" w:lineRule="auto"/>
        <w:ind w:firstLine="482" w:firstLineChars="200"/>
        <w:rPr>
          <w:rFonts w:hint="eastAsia" w:ascii="宋体" w:hAnsi="宋体" w:eastAsia="宋体" w:cs="宋体"/>
          <w:b/>
          <w:bCs/>
          <w:kern w:val="2"/>
          <w:szCs w:val="24"/>
          <w:lang w:bidi="zh-TW"/>
        </w:rPr>
      </w:pPr>
      <w:r>
        <w:rPr>
          <w:rFonts w:hint="eastAsia" w:ascii="宋体" w:hAnsi="宋体" w:eastAsia="宋体" w:cs="宋体"/>
          <w:b/>
          <w:bCs/>
          <w:kern w:val="2"/>
          <w:szCs w:val="24"/>
          <w:lang w:bidi="zh-TW"/>
        </w:rPr>
        <w:t>七、乙方提交技术服务工作成果的形式</w:t>
      </w:r>
    </w:p>
    <w:p w14:paraId="4F94F9EC">
      <w:pPr>
        <w:tabs>
          <w:tab w:val="left" w:pos="1438"/>
        </w:tabs>
        <w:spacing w:line="360" w:lineRule="auto"/>
        <w:ind w:firstLine="480" w:firstLineChars="200"/>
        <w:rPr>
          <w:rFonts w:hint="eastAsia" w:ascii="宋体" w:hAnsi="宋体" w:eastAsia="宋体" w:cs="宋体"/>
          <w:kern w:val="2"/>
          <w:szCs w:val="24"/>
          <w:highlight w:val="none"/>
          <w:lang w:val="zh-TW" w:eastAsia="zh-CN" w:bidi="zh-TW"/>
        </w:rPr>
      </w:pPr>
      <w:r>
        <w:rPr>
          <w:rFonts w:hint="eastAsia" w:ascii="宋体" w:hAnsi="宋体" w:eastAsia="宋体" w:cs="宋体"/>
          <w:kern w:val="2"/>
          <w:szCs w:val="24"/>
          <w:highlight w:val="none"/>
          <w:lang w:val="zh-TW" w:eastAsia="zh-TW" w:bidi="zh-TW"/>
        </w:rPr>
        <w:t>乙方应于每个季度首月10号前向采购人提交上季度环境监测报告</w:t>
      </w:r>
      <w:r>
        <w:rPr>
          <w:rFonts w:hint="eastAsia" w:hAnsi="宋体" w:cs="宋体"/>
          <w:kern w:val="2"/>
          <w:szCs w:val="24"/>
          <w:highlight w:val="none"/>
          <w:lang w:val="en-US" w:eastAsia="zh-CN" w:bidi="zh-TW"/>
        </w:rPr>
        <w:t>与原始记录</w:t>
      </w:r>
      <w:r>
        <w:rPr>
          <w:rFonts w:hint="eastAsia" w:ascii="宋体" w:hAnsi="宋体" w:eastAsia="宋体" w:cs="宋体"/>
          <w:kern w:val="2"/>
          <w:szCs w:val="24"/>
          <w:highlight w:val="none"/>
          <w:lang w:val="zh-TW" w:eastAsia="zh-TW" w:bidi="zh-TW"/>
        </w:rPr>
        <w:t>（包括纸质版</w:t>
      </w:r>
      <w:r>
        <w:rPr>
          <w:rFonts w:hint="eastAsia" w:hAnsi="宋体" w:cs="宋体"/>
          <w:kern w:val="2"/>
          <w:szCs w:val="24"/>
          <w:highlight w:val="none"/>
          <w:lang w:val="en-US" w:eastAsia="zh-CN" w:bidi="zh-TW"/>
        </w:rPr>
        <w:t>监测报告</w:t>
      </w:r>
      <w:r>
        <w:rPr>
          <w:rFonts w:hint="eastAsia" w:ascii="宋体" w:hAnsi="宋体" w:eastAsia="宋体" w:cs="宋体"/>
          <w:kern w:val="2"/>
          <w:szCs w:val="24"/>
          <w:highlight w:val="none"/>
          <w:lang w:val="zh-TW" w:eastAsia="zh-TW" w:bidi="zh-TW"/>
        </w:rPr>
        <w:t>一式四份</w:t>
      </w:r>
      <w:r>
        <w:rPr>
          <w:rFonts w:hint="eastAsia" w:hAnsi="宋体" w:cs="宋体"/>
          <w:kern w:val="2"/>
          <w:szCs w:val="24"/>
          <w:highlight w:val="none"/>
          <w:lang w:val="en-US" w:eastAsia="zh-CN" w:bidi="zh-TW"/>
        </w:rPr>
        <w:t>与</w:t>
      </w:r>
      <w:r>
        <w:rPr>
          <w:rFonts w:hint="eastAsia" w:ascii="宋体" w:hAnsi="宋体" w:eastAsia="宋体" w:cs="宋体"/>
          <w:kern w:val="2"/>
          <w:szCs w:val="24"/>
          <w:highlight w:val="none"/>
          <w:lang w:val="zh-TW" w:eastAsia="zh-TW" w:bidi="zh-TW"/>
        </w:rPr>
        <w:t>电子版</w:t>
      </w:r>
      <w:r>
        <w:rPr>
          <w:rFonts w:hint="eastAsia" w:hAnsi="宋体" w:cs="宋体"/>
          <w:kern w:val="2"/>
          <w:szCs w:val="24"/>
          <w:highlight w:val="none"/>
          <w:lang w:val="zh-TW" w:eastAsia="zh-CN" w:bidi="zh-TW"/>
        </w:rPr>
        <w:t>，</w:t>
      </w:r>
      <w:r>
        <w:rPr>
          <w:rFonts w:hint="eastAsia" w:hAnsi="宋体" w:cs="宋体"/>
          <w:kern w:val="2"/>
          <w:szCs w:val="24"/>
          <w:highlight w:val="none"/>
          <w:lang w:val="en-US" w:eastAsia="zh-CN" w:bidi="zh-TW"/>
        </w:rPr>
        <w:t>原始记录一份与电子版一份</w:t>
      </w:r>
      <w:r>
        <w:rPr>
          <w:rFonts w:hint="eastAsia" w:ascii="宋体" w:hAnsi="宋体" w:eastAsia="宋体" w:cs="宋体"/>
          <w:kern w:val="2"/>
          <w:szCs w:val="24"/>
          <w:highlight w:val="none"/>
          <w:lang w:val="zh-TW" w:eastAsia="zh-TW" w:bidi="zh-TW"/>
        </w:rPr>
        <w:t>）。</w:t>
      </w:r>
    </w:p>
    <w:p w14:paraId="7016007E">
      <w:pPr>
        <w:spacing w:line="360" w:lineRule="auto"/>
        <w:ind w:firstLine="482" w:firstLineChars="200"/>
        <w:rPr>
          <w:rFonts w:hint="eastAsia" w:ascii="宋体" w:hAnsi="宋体" w:eastAsia="宋体" w:cs="宋体"/>
          <w:b/>
          <w:bCs/>
          <w:kern w:val="2"/>
          <w:szCs w:val="24"/>
          <w:lang w:val="zh-TW" w:eastAsia="zh-TW" w:bidi="zh-TW"/>
        </w:rPr>
      </w:pPr>
      <w:r>
        <w:rPr>
          <w:rFonts w:hint="eastAsia" w:ascii="宋体" w:hAnsi="宋体" w:eastAsia="宋体" w:cs="宋体"/>
          <w:b/>
          <w:bCs/>
          <w:kern w:val="2"/>
          <w:szCs w:val="24"/>
          <w:lang w:bidi="zh-TW"/>
        </w:rPr>
        <w:t>八</w:t>
      </w:r>
      <w:r>
        <w:rPr>
          <w:rFonts w:hint="eastAsia" w:ascii="宋体" w:hAnsi="宋体" w:eastAsia="宋体" w:cs="宋体"/>
          <w:b/>
          <w:bCs/>
          <w:kern w:val="2"/>
          <w:szCs w:val="24"/>
          <w:lang w:val="zh-TW" w:eastAsia="zh-TW" w:bidi="zh-TW"/>
        </w:rPr>
        <w:t>、违约责任</w:t>
      </w:r>
    </w:p>
    <w:p w14:paraId="7D410E56">
      <w:pPr>
        <w:tabs>
          <w:tab w:val="left" w:pos="1438"/>
        </w:tabs>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en-US" w:eastAsia="zh-CN" w:bidi="zh-TW"/>
        </w:rPr>
        <w:t>（一）</w:t>
      </w:r>
      <w:r>
        <w:rPr>
          <w:rFonts w:hint="eastAsia" w:ascii="宋体" w:hAnsi="宋体" w:eastAsia="宋体" w:cs="宋体"/>
          <w:kern w:val="2"/>
          <w:szCs w:val="24"/>
          <w:lang w:val="zh-TW" w:eastAsia="zh-TW" w:bidi="zh-TW"/>
        </w:rPr>
        <w:t>如果乙方监测过程中违反相关法律法规及规范性文件，提交不实监测数据，甲方有权单方面终止合同。给甲方造成损失的，乙方应赔偿由此给甲方造成的全部损失，范围包括但不限于给甲方造成的实际损失，以及甲方因维权所产生的诉讼费、律师费、公</w:t>
      </w:r>
      <w:r>
        <w:rPr>
          <w:rFonts w:hint="eastAsia" w:ascii="宋体" w:hAnsi="宋体" w:eastAsia="宋体" w:cs="宋体"/>
          <w:kern w:val="2"/>
          <w:szCs w:val="24"/>
          <w:lang w:val="en-US" w:eastAsia="zh-CN" w:bidi="zh-TW"/>
        </w:rPr>
        <w:t>证</w:t>
      </w:r>
      <w:r>
        <w:rPr>
          <w:rFonts w:hint="eastAsia" w:ascii="宋体" w:hAnsi="宋体" w:eastAsia="宋体" w:cs="宋体"/>
          <w:kern w:val="2"/>
          <w:szCs w:val="24"/>
          <w:lang w:val="zh-TW" w:eastAsia="zh-TW" w:bidi="zh-TW"/>
        </w:rPr>
        <w:t>费、保全费、差旅费等全部相关费用。</w:t>
      </w:r>
    </w:p>
    <w:p w14:paraId="27C70CBE">
      <w:pPr>
        <w:tabs>
          <w:tab w:val="left" w:pos="1438"/>
        </w:tabs>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en-US" w:eastAsia="zh-CN" w:bidi="zh-TW"/>
        </w:rPr>
        <w:t>（二）</w:t>
      </w:r>
      <w:r>
        <w:rPr>
          <w:rFonts w:hint="eastAsia" w:ascii="宋体" w:hAnsi="宋体" w:eastAsia="宋体" w:cs="宋体"/>
          <w:kern w:val="2"/>
          <w:szCs w:val="24"/>
          <w:lang w:val="zh-TW" w:eastAsia="zh-TW" w:bidi="zh-TW"/>
        </w:rPr>
        <w:t>在合同有效期内，双方项目联系人、联系方式若有变更，须以书面形式通知对方，未及时通知造成损失的，要承担相应责任。</w:t>
      </w:r>
    </w:p>
    <w:p w14:paraId="5AD87E80">
      <w:pPr>
        <w:tabs>
          <w:tab w:val="left" w:pos="1438"/>
        </w:tabs>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en-US" w:eastAsia="zh-CN" w:bidi="zh-TW"/>
        </w:rPr>
        <w:t>（三）</w:t>
      </w:r>
      <w:r>
        <w:rPr>
          <w:rFonts w:hint="eastAsia" w:ascii="宋体" w:hAnsi="宋体" w:eastAsia="宋体" w:cs="宋体"/>
          <w:kern w:val="2"/>
          <w:szCs w:val="24"/>
          <w:lang w:val="zh-TW" w:eastAsia="zh-TW" w:bidi="zh-TW"/>
        </w:rPr>
        <w:t>乙方未按合同要求提供服务或服务质量不能满足本合同要求，必须无条件提高技术，完善服务质量，否则，甲方有权终止合同并对乙方违约行为进行追究，同时按政府采购供应商管理办法进行相应的处罚。</w:t>
      </w:r>
    </w:p>
    <w:p w14:paraId="11F444F0">
      <w:pPr>
        <w:tabs>
          <w:tab w:val="left" w:pos="1438"/>
        </w:tabs>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en-US" w:eastAsia="zh-CN" w:bidi="zh-TW"/>
        </w:rPr>
        <w:t>（四）</w:t>
      </w:r>
      <w:r>
        <w:rPr>
          <w:rFonts w:hint="eastAsia" w:ascii="宋体" w:hAnsi="宋体" w:eastAsia="宋体" w:cs="宋体"/>
          <w:kern w:val="2"/>
          <w:szCs w:val="24"/>
          <w:lang w:val="zh-TW" w:eastAsia="zh-TW" w:bidi="zh-TW"/>
        </w:rPr>
        <w:t>任何一方因不可抗力原因不能履行协议时，应尽快通知对方，如无法履约协议，可协商延缓或撤销协议，双方责任免除。</w:t>
      </w:r>
    </w:p>
    <w:p w14:paraId="19E8692C">
      <w:pPr>
        <w:spacing w:line="360" w:lineRule="auto"/>
        <w:ind w:firstLine="482" w:firstLineChars="200"/>
        <w:rPr>
          <w:rFonts w:hint="eastAsia" w:ascii="宋体" w:hAnsi="宋体" w:eastAsia="宋体" w:cs="宋体"/>
          <w:b/>
          <w:bCs/>
          <w:kern w:val="2"/>
          <w:szCs w:val="24"/>
          <w:lang w:bidi="zh-TW"/>
        </w:rPr>
      </w:pPr>
      <w:r>
        <w:rPr>
          <w:rFonts w:hint="eastAsia" w:hAnsi="宋体" w:cs="宋体"/>
          <w:b/>
          <w:bCs/>
          <w:kern w:val="2"/>
          <w:szCs w:val="24"/>
          <w:lang w:val="en-US" w:eastAsia="zh-CN" w:bidi="zh-TW"/>
        </w:rPr>
        <w:t>九</w:t>
      </w:r>
      <w:r>
        <w:rPr>
          <w:rFonts w:hint="eastAsia" w:ascii="宋体" w:hAnsi="宋体" w:eastAsia="宋体" w:cs="宋体"/>
          <w:b/>
          <w:bCs/>
          <w:kern w:val="2"/>
          <w:szCs w:val="24"/>
          <w:lang w:bidi="zh-TW"/>
        </w:rPr>
        <w:t>、争议解决</w:t>
      </w:r>
    </w:p>
    <w:p w14:paraId="1F08C763">
      <w:pPr>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zh-TW" w:bidi="zh-TW"/>
        </w:rPr>
        <w:t>（</w:t>
      </w:r>
      <w:r>
        <w:rPr>
          <w:rFonts w:hint="eastAsia" w:ascii="宋体" w:hAnsi="宋体" w:eastAsia="宋体" w:cs="宋体"/>
          <w:kern w:val="2"/>
          <w:szCs w:val="24"/>
          <w:lang w:bidi="zh-TW"/>
        </w:rPr>
        <w:t>一</w:t>
      </w:r>
      <w:r>
        <w:rPr>
          <w:rFonts w:hint="eastAsia" w:ascii="宋体" w:hAnsi="宋体" w:eastAsia="宋体" w:cs="宋体"/>
          <w:kern w:val="2"/>
          <w:szCs w:val="24"/>
          <w:lang w:val="zh-TW" w:bidi="zh-TW"/>
        </w:rPr>
        <w:t>）</w:t>
      </w:r>
      <w:r>
        <w:rPr>
          <w:rFonts w:hint="eastAsia" w:ascii="宋体" w:hAnsi="宋体" w:eastAsia="宋体" w:cs="宋体"/>
          <w:kern w:val="2"/>
          <w:szCs w:val="24"/>
          <w:lang w:bidi="zh-TW"/>
        </w:rPr>
        <w:t>本</w:t>
      </w:r>
      <w:r>
        <w:rPr>
          <w:rFonts w:hint="eastAsia" w:ascii="宋体" w:hAnsi="宋体" w:eastAsia="宋体" w:cs="宋体"/>
          <w:kern w:val="2"/>
          <w:szCs w:val="24"/>
          <w:lang w:val="zh-TW" w:eastAsia="zh-TW" w:bidi="zh-TW"/>
        </w:rPr>
        <w:t>合同在履行过程中发生的争议，由甲、乙双方当事人协商</w:t>
      </w:r>
      <w:r>
        <w:rPr>
          <w:rFonts w:hint="eastAsia" w:ascii="宋体" w:hAnsi="宋体" w:eastAsia="宋体" w:cs="宋体"/>
          <w:kern w:val="2"/>
          <w:szCs w:val="24"/>
          <w:lang w:bidi="zh-TW"/>
        </w:rPr>
        <w:t>解决，协商不成</w:t>
      </w:r>
      <w:r>
        <w:rPr>
          <w:rFonts w:hint="eastAsia" w:ascii="宋体" w:hAnsi="宋体" w:eastAsia="宋体" w:cs="宋体"/>
          <w:kern w:val="2"/>
          <w:szCs w:val="24"/>
          <w:lang w:val="zh-TW" w:eastAsia="zh-TW" w:bidi="zh-TW"/>
        </w:rPr>
        <w:t>的按下列第</w:t>
      </w:r>
      <w:r>
        <w:rPr>
          <w:rFonts w:hint="eastAsia" w:ascii="宋体" w:hAnsi="宋体" w:eastAsia="宋体" w:cs="宋体"/>
          <w:kern w:val="2"/>
          <w:szCs w:val="24"/>
          <w:u w:val="single"/>
          <w:lang w:bidi="zh-TW"/>
        </w:rPr>
        <w:t xml:space="preserve">  </w:t>
      </w:r>
      <w:r>
        <w:rPr>
          <w:rFonts w:hint="eastAsia" w:ascii="宋体" w:hAnsi="宋体" w:eastAsia="宋体" w:cs="宋体"/>
          <w:kern w:val="2"/>
          <w:szCs w:val="24"/>
          <w:lang w:val="zh-TW" w:eastAsia="zh-TW" w:bidi="zh-TW"/>
        </w:rPr>
        <w:t>种方式解决：</w:t>
      </w:r>
    </w:p>
    <w:p w14:paraId="2DBC53A3">
      <w:pPr>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bidi="zh-TW"/>
        </w:rPr>
        <w:t>1、提交</w:t>
      </w:r>
      <w:r>
        <w:rPr>
          <w:rFonts w:hint="eastAsia" w:ascii="宋体" w:hAnsi="宋体" w:eastAsia="宋体" w:cs="宋体"/>
          <w:kern w:val="2"/>
          <w:szCs w:val="24"/>
          <w:lang w:val="zh-TW" w:eastAsia="zh-TW" w:bidi="zh-TW"/>
        </w:rPr>
        <w:t>西安仲裁委员会仲裁；</w:t>
      </w:r>
    </w:p>
    <w:p w14:paraId="2B50B55D">
      <w:pPr>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bidi="zh-TW"/>
        </w:rPr>
        <w:t>2、依法向</w:t>
      </w:r>
      <w:r>
        <w:rPr>
          <w:rFonts w:hint="eastAsia" w:ascii="宋体" w:hAnsi="宋体" w:eastAsia="宋体" w:cs="宋体"/>
          <w:kern w:val="2"/>
          <w:szCs w:val="24"/>
          <w:lang w:val="zh-TW" w:eastAsia="zh-TW" w:bidi="zh-TW"/>
        </w:rPr>
        <w:t>甲方所在地人民法院起诉。</w:t>
      </w:r>
    </w:p>
    <w:p w14:paraId="41F612E6">
      <w:pPr>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zh-TW" w:bidi="zh-TW"/>
        </w:rPr>
        <w:t>（</w:t>
      </w:r>
      <w:r>
        <w:rPr>
          <w:rFonts w:hint="eastAsia" w:ascii="宋体" w:hAnsi="宋体" w:eastAsia="宋体" w:cs="宋体"/>
          <w:kern w:val="2"/>
          <w:szCs w:val="24"/>
          <w:lang w:bidi="zh-TW"/>
        </w:rPr>
        <w:t>二</w:t>
      </w:r>
      <w:r>
        <w:rPr>
          <w:rFonts w:hint="eastAsia" w:ascii="宋体" w:hAnsi="宋体" w:eastAsia="宋体" w:cs="宋体"/>
          <w:kern w:val="2"/>
          <w:szCs w:val="24"/>
          <w:lang w:val="zh-TW" w:bidi="zh-TW"/>
        </w:rPr>
        <w:t>）</w:t>
      </w:r>
      <w:r>
        <w:rPr>
          <w:rFonts w:hint="eastAsia" w:ascii="宋体" w:hAnsi="宋体" w:eastAsia="宋体" w:cs="宋体"/>
          <w:kern w:val="2"/>
          <w:szCs w:val="24"/>
          <w:lang w:bidi="zh-TW"/>
        </w:rPr>
        <w:t>本</w:t>
      </w:r>
      <w:r>
        <w:rPr>
          <w:rFonts w:hint="eastAsia" w:ascii="宋体" w:hAnsi="宋体" w:eastAsia="宋体" w:cs="宋体"/>
          <w:kern w:val="2"/>
          <w:szCs w:val="24"/>
          <w:lang w:val="zh-TW" w:eastAsia="zh-TW" w:bidi="zh-TW"/>
        </w:rPr>
        <w:t>条款为独立条款，本合同的无效、变更、解除和终止均不</w:t>
      </w:r>
      <w:r>
        <w:rPr>
          <w:rFonts w:hint="eastAsia" w:ascii="宋体" w:hAnsi="宋体" w:eastAsia="宋体" w:cs="宋体"/>
          <w:kern w:val="2"/>
          <w:szCs w:val="24"/>
          <w:lang w:bidi="zh-TW"/>
        </w:rPr>
        <w:t>影响本条款的</w:t>
      </w:r>
      <w:r>
        <w:rPr>
          <w:rFonts w:hint="eastAsia" w:ascii="宋体" w:hAnsi="宋体" w:eastAsia="宋体" w:cs="宋体"/>
          <w:kern w:val="2"/>
          <w:szCs w:val="24"/>
          <w:lang w:val="zh-TW" w:eastAsia="zh-TW" w:bidi="zh-TW"/>
        </w:rPr>
        <w:t>效力。</w:t>
      </w:r>
    </w:p>
    <w:p w14:paraId="05D27DEE">
      <w:pPr>
        <w:spacing w:line="360" w:lineRule="auto"/>
        <w:ind w:firstLine="482" w:firstLineChars="200"/>
        <w:rPr>
          <w:rFonts w:hint="eastAsia" w:ascii="宋体" w:hAnsi="宋体" w:eastAsia="宋体" w:cs="宋体"/>
          <w:b/>
          <w:bCs/>
          <w:kern w:val="2"/>
          <w:szCs w:val="24"/>
          <w:lang w:val="zh-TW" w:eastAsia="zh-TW" w:bidi="zh-TW"/>
        </w:rPr>
      </w:pPr>
      <w:r>
        <w:rPr>
          <w:rFonts w:hint="eastAsia" w:ascii="宋体" w:hAnsi="宋体" w:eastAsia="宋体" w:cs="宋体"/>
          <w:b/>
          <w:bCs/>
          <w:kern w:val="2"/>
          <w:szCs w:val="24"/>
          <w:lang w:val="zh-TW" w:eastAsia="zh-TW" w:bidi="zh-TW"/>
        </w:rPr>
        <w:t>十、合同变更</w:t>
      </w:r>
    </w:p>
    <w:p w14:paraId="51B99B37">
      <w:pPr>
        <w:spacing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在合同的执行期内，双方均不得随意变更或解除合同。如因项目</w:t>
      </w:r>
      <w:r>
        <w:rPr>
          <w:rFonts w:hint="eastAsia" w:ascii="宋体" w:hAnsi="宋体" w:eastAsia="宋体" w:cs="宋体"/>
          <w:kern w:val="2"/>
          <w:szCs w:val="24"/>
          <w:lang w:bidi="zh-TW"/>
        </w:rPr>
        <w:t>需求</w:t>
      </w:r>
      <w:r>
        <w:rPr>
          <w:rFonts w:hint="eastAsia" w:ascii="宋体" w:hAnsi="宋体" w:eastAsia="宋体" w:cs="宋体"/>
          <w:kern w:val="2"/>
          <w:szCs w:val="24"/>
          <w:lang w:val="zh-TW" w:eastAsia="zh-TW" w:bidi="zh-TW"/>
        </w:rPr>
        <w:t>情况发生变化，需要项目变更的，应双方协商后签订项目变更协议，</w:t>
      </w:r>
      <w:r>
        <w:rPr>
          <w:rFonts w:hint="eastAsia" w:ascii="宋体" w:hAnsi="宋体" w:eastAsia="宋体" w:cs="宋体"/>
          <w:kern w:val="2"/>
          <w:szCs w:val="24"/>
          <w:lang w:bidi="zh-TW"/>
        </w:rPr>
        <w:t>经</w:t>
      </w:r>
      <w:r>
        <w:rPr>
          <w:rFonts w:hint="eastAsia" w:ascii="宋体" w:hAnsi="宋体" w:eastAsia="宋体" w:cs="宋体"/>
          <w:kern w:val="2"/>
          <w:szCs w:val="24"/>
          <w:lang w:val="zh-TW" w:eastAsia="zh-TW" w:bidi="zh-TW"/>
        </w:rPr>
        <w:t>确认后生效（如双方变更事项不能达成一致的，仍按原合同履</w:t>
      </w:r>
      <w:r>
        <w:rPr>
          <w:rFonts w:hint="eastAsia" w:ascii="宋体" w:hAnsi="宋体" w:eastAsia="宋体" w:cs="宋体"/>
          <w:kern w:val="2"/>
          <w:szCs w:val="24"/>
          <w:lang w:bidi="zh-TW"/>
        </w:rPr>
        <w:t>行，</w:t>
      </w:r>
      <w:r>
        <w:rPr>
          <w:rFonts w:hint="eastAsia" w:ascii="宋体" w:hAnsi="宋体" w:eastAsia="宋体" w:cs="宋体"/>
          <w:kern w:val="2"/>
          <w:szCs w:val="24"/>
          <w:lang w:val="zh-TW" w:eastAsia="zh-TW" w:bidi="zh-TW"/>
        </w:rPr>
        <w:t>否则视为违约）。</w:t>
      </w:r>
    </w:p>
    <w:p w14:paraId="4EDF877F">
      <w:pPr>
        <w:spacing w:line="360" w:lineRule="auto"/>
        <w:ind w:firstLine="482" w:firstLineChars="200"/>
        <w:rPr>
          <w:rFonts w:hint="eastAsia" w:ascii="宋体" w:hAnsi="宋体" w:eastAsia="宋体" w:cs="宋体"/>
          <w:b/>
          <w:bCs/>
          <w:kern w:val="2"/>
          <w:szCs w:val="24"/>
          <w:lang w:val="zh-TW" w:eastAsia="zh-TW" w:bidi="zh-TW"/>
        </w:rPr>
      </w:pPr>
      <w:r>
        <w:rPr>
          <w:rFonts w:hint="eastAsia" w:ascii="宋体" w:hAnsi="宋体" w:eastAsia="宋体" w:cs="宋体"/>
          <w:b/>
          <w:bCs/>
          <w:kern w:val="2"/>
          <w:szCs w:val="24"/>
          <w:lang w:val="zh-TW" w:eastAsia="zh-TW" w:bidi="zh-TW"/>
        </w:rPr>
        <w:t>十</w:t>
      </w:r>
      <w:r>
        <w:rPr>
          <w:rFonts w:hint="eastAsia" w:hAnsi="宋体" w:cs="宋体"/>
          <w:b/>
          <w:bCs/>
          <w:kern w:val="2"/>
          <w:szCs w:val="24"/>
          <w:lang w:val="en-US" w:eastAsia="zh-CN" w:bidi="zh-TW"/>
        </w:rPr>
        <w:t>一</w:t>
      </w:r>
      <w:r>
        <w:rPr>
          <w:rFonts w:hint="eastAsia" w:ascii="宋体" w:hAnsi="宋体" w:eastAsia="宋体" w:cs="宋体"/>
          <w:b/>
          <w:bCs/>
          <w:kern w:val="2"/>
          <w:szCs w:val="24"/>
          <w:lang w:val="zh-TW" w:eastAsia="zh-TW" w:bidi="zh-TW"/>
        </w:rPr>
        <w:t>、合同生效</w:t>
      </w:r>
    </w:p>
    <w:p w14:paraId="4CC18533">
      <w:pPr>
        <w:spacing w:after="100" w:line="360" w:lineRule="auto"/>
        <w:ind w:firstLine="480" w:firstLineChars="200"/>
        <w:rPr>
          <w:rFonts w:hint="eastAsia" w:ascii="宋体" w:hAnsi="宋体" w:eastAsia="宋体" w:cs="宋体"/>
          <w:kern w:val="2"/>
          <w:szCs w:val="24"/>
          <w:lang w:val="zh-TW" w:eastAsia="zh-TW" w:bidi="zh-TW"/>
        </w:rPr>
      </w:pPr>
      <w:r>
        <w:rPr>
          <w:rFonts w:hint="eastAsia" w:ascii="宋体" w:hAnsi="宋体" w:eastAsia="宋体" w:cs="宋体"/>
          <w:kern w:val="2"/>
          <w:szCs w:val="24"/>
          <w:highlight w:val="none"/>
          <w:lang w:val="zh-TW" w:eastAsia="zh-TW" w:bidi="zh-TW"/>
        </w:rPr>
        <w:t>本合同一式</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u w:val="single"/>
          <w:lang w:val="en-US" w:eastAsia="zh-CN" w:bidi="zh-TW"/>
        </w:rPr>
        <w:t xml:space="preserve">  </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lang w:val="zh-TW" w:eastAsia="zh-TW" w:bidi="zh-TW"/>
        </w:rPr>
        <w:t>份,甲方持</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u w:val="single"/>
          <w:lang w:val="en-US" w:eastAsia="zh-CN" w:bidi="zh-TW"/>
        </w:rPr>
        <w:t xml:space="preserve"> </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lang w:val="zh-TW" w:eastAsia="zh-TW" w:bidi="zh-TW"/>
        </w:rPr>
        <w:t>份，乙方持</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u w:val="single"/>
          <w:lang w:val="en-US" w:eastAsia="zh-CN" w:bidi="zh-TW"/>
        </w:rPr>
        <w:t xml:space="preserve"> </w:t>
      </w:r>
      <w:r>
        <w:rPr>
          <w:rFonts w:hint="eastAsia" w:ascii="宋体" w:hAnsi="宋体" w:eastAsia="宋体" w:cs="宋体"/>
          <w:kern w:val="2"/>
          <w:szCs w:val="24"/>
          <w:highlight w:val="none"/>
          <w:u w:val="single"/>
          <w:lang w:bidi="zh-TW"/>
        </w:rPr>
        <w:t xml:space="preserve">  </w:t>
      </w:r>
      <w:r>
        <w:rPr>
          <w:rFonts w:hint="eastAsia" w:ascii="宋体" w:hAnsi="宋体" w:eastAsia="宋体" w:cs="宋体"/>
          <w:kern w:val="2"/>
          <w:szCs w:val="24"/>
          <w:highlight w:val="none"/>
          <w:lang w:val="zh-TW" w:eastAsia="zh-TW" w:bidi="zh-TW"/>
        </w:rPr>
        <w:t>份</w:t>
      </w:r>
      <w:r>
        <w:rPr>
          <w:rFonts w:hint="eastAsia" w:ascii="宋体" w:hAnsi="宋体" w:eastAsia="宋体" w:cs="宋体"/>
          <w:kern w:val="2"/>
          <w:szCs w:val="24"/>
          <w:highlight w:val="none"/>
          <w:lang w:bidi="zh-TW"/>
        </w:rPr>
        <w:t>，</w:t>
      </w:r>
      <w:r>
        <w:rPr>
          <w:rFonts w:hint="eastAsia" w:ascii="宋体" w:hAnsi="宋体" w:eastAsia="宋体" w:cs="宋体"/>
          <w:kern w:val="2"/>
          <w:szCs w:val="24"/>
          <w:lang w:val="zh-TW" w:eastAsia="zh-TW" w:bidi="zh-TW"/>
        </w:rPr>
        <w:t>本合同甲、乙</w:t>
      </w:r>
      <w:r>
        <w:rPr>
          <w:rFonts w:hint="eastAsia" w:hAnsi="宋体" w:cs="宋体"/>
          <w:kern w:val="2"/>
          <w:szCs w:val="24"/>
          <w:lang w:val="en-US" w:eastAsia="zh-CN" w:bidi="zh-TW"/>
        </w:rPr>
        <w:t>双</w:t>
      </w:r>
      <w:r>
        <w:rPr>
          <w:rFonts w:hint="eastAsia" w:ascii="宋体" w:hAnsi="宋体" w:eastAsia="宋体" w:cs="宋体"/>
          <w:kern w:val="2"/>
          <w:szCs w:val="24"/>
          <w:lang w:val="zh-TW" w:eastAsia="zh-TW" w:bidi="zh-TW"/>
        </w:rPr>
        <w:t>方签字并盖章后生效，</w:t>
      </w:r>
      <w:r>
        <w:rPr>
          <w:rFonts w:hint="eastAsia" w:ascii="宋体" w:hAnsi="宋体" w:eastAsia="宋体" w:cs="宋体"/>
          <w:kern w:val="2"/>
          <w:szCs w:val="24"/>
          <w:lang w:bidi="zh-TW"/>
        </w:rPr>
        <w:t>合同执行完毕后，自动</w:t>
      </w:r>
      <w:r>
        <w:rPr>
          <w:rFonts w:hint="eastAsia" w:ascii="宋体" w:hAnsi="宋体" w:eastAsia="宋体" w:cs="宋体"/>
          <w:kern w:val="2"/>
          <w:szCs w:val="24"/>
          <w:lang w:val="zh-TW" w:eastAsia="zh-TW" w:bidi="zh-TW"/>
        </w:rPr>
        <w:t>失效（合同的服务承诺则长期有效）。</w:t>
      </w:r>
    </w:p>
    <w:p w14:paraId="2F2FAE0A">
      <w:pPr>
        <w:spacing w:line="360" w:lineRule="auto"/>
        <w:ind w:firstLine="482" w:firstLineChars="200"/>
        <w:jc w:val="left"/>
        <w:rPr>
          <w:rFonts w:hint="eastAsia" w:ascii="宋体" w:hAnsi="宋体" w:eastAsia="宋体" w:cs="宋体"/>
          <w:b/>
          <w:bCs/>
          <w:kern w:val="2"/>
          <w:szCs w:val="24"/>
          <w:lang w:bidi="en-US"/>
        </w:rPr>
      </w:pPr>
      <w:r>
        <w:rPr>
          <w:rFonts w:hint="eastAsia" w:ascii="宋体" w:hAnsi="宋体" w:eastAsia="宋体" w:cs="宋体"/>
          <w:b/>
          <w:bCs/>
          <w:kern w:val="2"/>
          <w:szCs w:val="24"/>
          <w:lang w:bidi="en-US"/>
        </w:rPr>
        <w:t>十</w:t>
      </w:r>
      <w:r>
        <w:rPr>
          <w:rFonts w:hint="eastAsia" w:hAnsi="宋体" w:cs="宋体"/>
          <w:b/>
          <w:bCs/>
          <w:kern w:val="2"/>
          <w:szCs w:val="24"/>
          <w:lang w:val="en-US" w:eastAsia="zh-CN" w:bidi="en-US"/>
        </w:rPr>
        <w:t>二</w:t>
      </w:r>
      <w:r>
        <w:rPr>
          <w:rFonts w:hint="eastAsia" w:ascii="宋体" w:hAnsi="宋体" w:eastAsia="宋体" w:cs="宋体"/>
          <w:b/>
          <w:bCs/>
          <w:kern w:val="2"/>
          <w:szCs w:val="24"/>
          <w:lang w:bidi="en-US"/>
        </w:rPr>
        <w:t>、其他事项</w:t>
      </w:r>
    </w:p>
    <w:p w14:paraId="480F5913">
      <w:pPr>
        <w:spacing w:line="360" w:lineRule="auto"/>
        <w:ind w:firstLine="480" w:firstLineChars="200"/>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bidi="zh-TW"/>
        </w:rPr>
        <w:t>（</w:t>
      </w:r>
      <w:r>
        <w:rPr>
          <w:rFonts w:hint="eastAsia" w:ascii="宋体" w:hAnsi="宋体" w:eastAsia="宋体" w:cs="宋体"/>
          <w:kern w:val="2"/>
          <w:szCs w:val="24"/>
          <w:lang w:bidi="zh-TW"/>
        </w:rPr>
        <w:t>一</w:t>
      </w:r>
      <w:r>
        <w:rPr>
          <w:rFonts w:hint="eastAsia" w:ascii="宋体" w:hAnsi="宋体" w:eastAsia="宋体" w:cs="宋体"/>
          <w:kern w:val="2"/>
          <w:szCs w:val="24"/>
          <w:lang w:val="zh-TW" w:bidi="zh-TW"/>
        </w:rPr>
        <w:t>）</w:t>
      </w:r>
      <w:r>
        <w:rPr>
          <w:rFonts w:hint="eastAsia" w:ascii="宋体" w:hAnsi="宋体" w:eastAsia="宋体" w:cs="宋体"/>
          <w:kern w:val="2"/>
          <w:szCs w:val="24"/>
          <w:lang w:bidi="zh-TW"/>
        </w:rPr>
        <w:t>竞争性</w:t>
      </w:r>
      <w:r>
        <w:rPr>
          <w:rFonts w:hint="eastAsia" w:ascii="宋体" w:hAnsi="宋体" w:eastAsia="宋体" w:cs="宋体"/>
          <w:kern w:val="2"/>
          <w:szCs w:val="24"/>
          <w:lang w:val="zh-TW" w:eastAsia="zh-TW" w:bidi="zh-TW"/>
        </w:rPr>
        <w:t>磋商文件、响应文件、澄清表（函）、成交通知书、合同</w:t>
      </w:r>
      <w:r>
        <w:rPr>
          <w:rFonts w:hint="eastAsia" w:ascii="宋体" w:hAnsi="宋体" w:eastAsia="宋体" w:cs="宋体"/>
          <w:kern w:val="2"/>
          <w:szCs w:val="24"/>
          <w:lang w:bidi="zh-TW"/>
        </w:rPr>
        <w:t>附件均为合同</w:t>
      </w:r>
      <w:r>
        <w:rPr>
          <w:rFonts w:hint="eastAsia" w:ascii="宋体" w:hAnsi="宋体" w:eastAsia="宋体" w:cs="宋体"/>
          <w:kern w:val="2"/>
          <w:szCs w:val="24"/>
          <w:lang w:val="zh-TW" w:eastAsia="zh-TW" w:bidi="zh-TW"/>
        </w:rPr>
        <w:t>不可分割的部分。</w:t>
      </w:r>
    </w:p>
    <w:p w14:paraId="612D27C4">
      <w:pPr>
        <w:spacing w:line="360" w:lineRule="auto"/>
        <w:ind w:firstLine="480" w:firstLineChars="200"/>
        <w:rPr>
          <w:rFonts w:hint="eastAsia" w:ascii="宋体" w:hAnsi="宋体" w:eastAsia="宋体" w:cs="宋体"/>
          <w:kern w:val="2"/>
          <w:szCs w:val="24"/>
          <w:lang w:bidi="zh-TW"/>
        </w:rPr>
      </w:pPr>
      <w:r>
        <w:rPr>
          <w:rFonts w:hint="eastAsia" w:ascii="宋体" w:hAnsi="宋体" w:eastAsia="宋体" w:cs="宋体"/>
          <w:kern w:val="2"/>
          <w:szCs w:val="24"/>
          <w:lang w:bidi="zh-TW"/>
        </w:rPr>
        <w:t>（二）甲乙</w:t>
      </w:r>
      <w:r>
        <w:rPr>
          <w:rFonts w:hint="eastAsia" w:ascii="宋体" w:hAnsi="宋体" w:eastAsia="宋体" w:cs="宋体"/>
          <w:kern w:val="2"/>
          <w:szCs w:val="24"/>
          <w:lang w:val="zh-TW" w:eastAsia="zh-TW" w:bidi="zh-TW"/>
        </w:rPr>
        <w:t>双方因不可抗力导致本合同全部或部分不能履行时，发生</w:t>
      </w:r>
      <w:r>
        <w:rPr>
          <w:rFonts w:hint="eastAsia" w:ascii="宋体" w:hAnsi="宋体" w:eastAsia="宋体" w:cs="宋体"/>
          <w:kern w:val="2"/>
          <w:szCs w:val="24"/>
          <w:lang w:bidi="zh-TW"/>
        </w:rPr>
        <w:t>不可抗力的一方应当</w:t>
      </w:r>
      <w:r>
        <w:rPr>
          <w:rFonts w:hint="eastAsia" w:ascii="宋体" w:hAnsi="宋体" w:eastAsia="宋体" w:cs="宋体"/>
          <w:kern w:val="2"/>
          <w:szCs w:val="24"/>
          <w:lang w:val="zh-TW" w:eastAsia="zh-TW" w:bidi="zh-TW"/>
        </w:rPr>
        <w:t>在不可抗力发生后</w:t>
      </w:r>
      <w:r>
        <w:rPr>
          <w:rFonts w:hint="eastAsia" w:ascii="宋体" w:hAnsi="宋体" w:eastAsia="宋体" w:cs="宋体"/>
          <w:kern w:val="2"/>
          <w:szCs w:val="24"/>
          <w:u w:val="single"/>
          <w:lang w:bidi="zh-TW"/>
        </w:rPr>
        <w:t xml:space="preserve">    </w:t>
      </w:r>
      <w:r>
        <w:rPr>
          <w:rFonts w:hint="eastAsia" w:ascii="宋体" w:hAnsi="宋体" w:eastAsia="宋体" w:cs="宋体"/>
          <w:kern w:val="2"/>
          <w:szCs w:val="24"/>
          <w:lang w:val="zh-TW" w:eastAsia="zh-TW" w:bidi="zh-TW"/>
        </w:rPr>
        <w:t>天内书面通知对方，以减轻</w:t>
      </w:r>
      <w:r>
        <w:rPr>
          <w:rFonts w:hint="eastAsia" w:ascii="宋体" w:hAnsi="宋体" w:eastAsia="宋体" w:cs="宋体"/>
          <w:kern w:val="2"/>
          <w:szCs w:val="24"/>
          <w:lang w:bidi="zh-TW"/>
        </w:rPr>
        <w:t>可能给对方造成的损失</w:t>
      </w:r>
      <w:r>
        <w:rPr>
          <w:rFonts w:hint="eastAsia" w:ascii="宋体" w:hAnsi="宋体" w:eastAsia="宋体" w:cs="宋体"/>
          <w:kern w:val="2"/>
          <w:szCs w:val="24"/>
          <w:lang w:val="zh-TW" w:eastAsia="zh-TW" w:bidi="zh-TW"/>
        </w:rPr>
        <w:t>。因不可抗力导致本合同全部或部分不能履行时，</w:t>
      </w:r>
      <w:r>
        <w:rPr>
          <w:rFonts w:hint="eastAsia" w:ascii="宋体" w:hAnsi="宋体" w:eastAsia="宋体" w:cs="宋体"/>
          <w:kern w:val="2"/>
          <w:szCs w:val="24"/>
          <w:lang w:bidi="zh-TW"/>
        </w:rPr>
        <w:t>双方各自承担其因此而造成的损失</w:t>
      </w:r>
      <w:r>
        <w:rPr>
          <w:rFonts w:hint="eastAsia" w:ascii="宋体" w:hAnsi="宋体" w:eastAsia="宋体" w:cs="宋体"/>
          <w:kern w:val="2"/>
          <w:szCs w:val="24"/>
          <w:lang w:val="zh-TW" w:eastAsia="zh-TW" w:bidi="zh-TW"/>
        </w:rPr>
        <w:t>、损害。</w:t>
      </w:r>
    </w:p>
    <w:p w14:paraId="2A74A685">
      <w:pPr>
        <w:spacing w:line="360" w:lineRule="auto"/>
        <w:ind w:firstLine="480" w:firstLineChars="200"/>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bidi="zh-TW"/>
        </w:rPr>
        <w:t>（</w:t>
      </w:r>
      <w:r>
        <w:rPr>
          <w:rFonts w:hint="eastAsia" w:ascii="宋体" w:hAnsi="宋体" w:eastAsia="宋体" w:cs="宋体"/>
          <w:kern w:val="2"/>
          <w:szCs w:val="24"/>
          <w:lang w:bidi="zh-TW"/>
        </w:rPr>
        <w:t>三</w:t>
      </w:r>
      <w:r>
        <w:rPr>
          <w:rFonts w:hint="eastAsia" w:ascii="宋体" w:hAnsi="宋体" w:eastAsia="宋体" w:cs="宋体"/>
          <w:kern w:val="2"/>
          <w:szCs w:val="24"/>
          <w:lang w:val="zh-TW" w:bidi="zh-TW"/>
        </w:rPr>
        <w:t>）</w:t>
      </w:r>
      <w:r>
        <w:rPr>
          <w:rFonts w:hint="eastAsia" w:ascii="宋体" w:hAnsi="宋体" w:eastAsia="宋体" w:cs="宋体"/>
          <w:kern w:val="2"/>
          <w:szCs w:val="24"/>
          <w:lang w:bidi="zh-TW"/>
        </w:rPr>
        <w:t>合同</w:t>
      </w:r>
      <w:r>
        <w:rPr>
          <w:rFonts w:hint="eastAsia" w:ascii="宋体" w:hAnsi="宋体" w:eastAsia="宋体" w:cs="宋体"/>
          <w:kern w:val="2"/>
          <w:szCs w:val="24"/>
          <w:lang w:val="zh-TW" w:eastAsia="zh-TW" w:bidi="zh-TW"/>
        </w:rPr>
        <w:t>未尽事宜，由甲、乙双方协商并经确认后签订政府</w:t>
      </w:r>
      <w:r>
        <w:rPr>
          <w:rFonts w:hint="eastAsia" w:ascii="宋体" w:hAnsi="宋体" w:eastAsia="宋体" w:cs="宋体"/>
          <w:kern w:val="2"/>
          <w:szCs w:val="24"/>
          <w:lang w:bidi="zh-TW"/>
        </w:rPr>
        <w:t>采购补充合同，</w:t>
      </w:r>
      <w:r>
        <w:rPr>
          <w:rFonts w:hint="eastAsia" w:ascii="宋体" w:hAnsi="宋体" w:eastAsia="宋体" w:cs="宋体"/>
          <w:kern w:val="2"/>
          <w:szCs w:val="24"/>
          <w:lang w:val="zh-TW" w:eastAsia="zh-TW" w:bidi="zh-TW"/>
        </w:rPr>
        <w:t>与原合同具有同等法律效力。</w:t>
      </w:r>
    </w:p>
    <w:p w14:paraId="2F44D19C">
      <w:pPr>
        <w:widowControl w:val="0"/>
        <w:spacing w:after="120" w:line="360" w:lineRule="auto"/>
        <w:ind w:left="480" w:leftChars="200" w:firstLine="480" w:firstLineChars="200"/>
        <w:jc w:val="both"/>
        <w:rPr>
          <w:rFonts w:hint="eastAsia" w:ascii="宋体" w:hAnsi="宋体" w:eastAsia="宋体" w:cs="宋体"/>
          <w:kern w:val="2"/>
          <w:sz w:val="24"/>
          <w:szCs w:val="24"/>
          <w:lang w:val="zh-TW" w:eastAsia="zh-TW" w:bidi="zh-TW"/>
        </w:rPr>
      </w:pPr>
    </w:p>
    <w:tbl>
      <w:tblPr>
        <w:tblStyle w:val="6"/>
        <w:tblW w:w="8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261"/>
        <w:gridCol w:w="4498"/>
      </w:tblGrid>
      <w:tr w14:paraId="19A4B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 w:hRule="exact"/>
          <w:jc w:val="center"/>
        </w:trPr>
        <w:tc>
          <w:tcPr>
            <w:tcW w:w="4261" w:type="dxa"/>
            <w:tcBorders>
              <w:bottom w:val="single" w:color="auto" w:sz="4" w:space="0"/>
            </w:tcBorders>
            <w:shd w:val="clear" w:color="auto" w:fill="auto"/>
            <w:vAlign w:val="center"/>
          </w:tcPr>
          <w:p w14:paraId="6E47B069">
            <w:pPr>
              <w:spacing w:line="360" w:lineRule="auto"/>
              <w:ind w:firstLine="480" w:firstLineChars="200"/>
              <w:jc w:val="center"/>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甲方</w:t>
            </w:r>
          </w:p>
        </w:tc>
        <w:tc>
          <w:tcPr>
            <w:tcW w:w="4498" w:type="dxa"/>
            <w:tcBorders>
              <w:bottom w:val="single" w:color="auto" w:sz="4" w:space="0"/>
            </w:tcBorders>
            <w:shd w:val="clear" w:color="auto" w:fill="auto"/>
            <w:vAlign w:val="center"/>
          </w:tcPr>
          <w:p w14:paraId="407C7B1D">
            <w:pPr>
              <w:spacing w:line="360" w:lineRule="auto"/>
              <w:ind w:firstLine="480" w:firstLineChars="200"/>
              <w:jc w:val="center"/>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乙方</w:t>
            </w:r>
          </w:p>
        </w:tc>
      </w:tr>
      <w:tr w14:paraId="1F928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57" w:hRule="exact"/>
          <w:jc w:val="center"/>
        </w:trPr>
        <w:tc>
          <w:tcPr>
            <w:tcW w:w="4261" w:type="dxa"/>
            <w:tcBorders>
              <w:top w:val="single" w:color="auto" w:sz="4" w:space="0"/>
            </w:tcBorders>
            <w:shd w:val="clear" w:color="auto" w:fill="auto"/>
            <w:vAlign w:val="center"/>
          </w:tcPr>
          <w:p w14:paraId="78D1BDB8">
            <w:pPr>
              <w:widowControl w:val="0"/>
              <w:spacing w:line="360" w:lineRule="auto"/>
              <w:ind w:firstLine="0" w:firstLineChars="0"/>
              <w:jc w:val="center"/>
              <w:rPr>
                <w:rFonts w:hint="eastAsia" w:ascii="宋体" w:hAnsi="宋体" w:eastAsia="宋体" w:cs="宋体"/>
                <w:kern w:val="2"/>
                <w:sz w:val="28"/>
                <w:szCs w:val="24"/>
                <w:lang w:val="zh-TW" w:eastAsia="zh-TW" w:bidi="ar-SA"/>
              </w:rPr>
            </w:pPr>
            <w:r>
              <w:rPr>
                <w:rFonts w:hint="eastAsia" w:ascii="宋体" w:hAnsi="宋体" w:eastAsia="宋体" w:cs="宋体"/>
                <w:kern w:val="2"/>
                <w:szCs w:val="24"/>
                <w:lang w:val="zh-TW" w:eastAsia="zh-TW" w:bidi="zh-TW"/>
              </w:rPr>
              <w:t>西安国家民用航天产业基地管理委员会</w:t>
            </w:r>
          </w:p>
          <w:p w14:paraId="753C14AB">
            <w:pPr>
              <w:spacing w:line="360" w:lineRule="auto"/>
              <w:jc w:val="center"/>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（盖章）</w:t>
            </w:r>
          </w:p>
        </w:tc>
        <w:tc>
          <w:tcPr>
            <w:tcW w:w="4498" w:type="dxa"/>
            <w:tcBorders>
              <w:top w:val="single" w:color="auto" w:sz="4" w:space="0"/>
            </w:tcBorders>
            <w:shd w:val="clear" w:color="auto" w:fill="auto"/>
            <w:vAlign w:val="center"/>
          </w:tcPr>
          <w:p w14:paraId="127CA642">
            <w:pPr>
              <w:widowControl w:val="0"/>
              <w:spacing w:line="360" w:lineRule="auto"/>
              <w:jc w:val="center"/>
              <w:rPr>
                <w:rFonts w:hint="eastAsia" w:ascii="宋体" w:hAnsi="宋体" w:eastAsia="宋体" w:cs="宋体"/>
                <w:kern w:val="2"/>
                <w:sz w:val="28"/>
                <w:szCs w:val="24"/>
                <w:lang w:val="zh-TW" w:eastAsia="zh-CN" w:bidi="ar-SA"/>
              </w:rPr>
            </w:pPr>
          </w:p>
          <w:p w14:paraId="45BF5EF3">
            <w:pPr>
              <w:spacing w:line="360" w:lineRule="auto"/>
              <w:jc w:val="center"/>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（盖章）</w:t>
            </w:r>
          </w:p>
        </w:tc>
      </w:tr>
      <w:tr w14:paraId="6127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439" w:hRule="exact"/>
          <w:jc w:val="center"/>
        </w:trPr>
        <w:tc>
          <w:tcPr>
            <w:tcW w:w="4261" w:type="dxa"/>
            <w:shd w:val="clear" w:color="auto" w:fill="auto"/>
            <w:vAlign w:val="center"/>
          </w:tcPr>
          <w:p w14:paraId="27213B37">
            <w:pPr>
              <w:spacing w:line="360" w:lineRule="auto"/>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地址：西安市航天中路369号</w:t>
            </w:r>
          </w:p>
        </w:tc>
        <w:tc>
          <w:tcPr>
            <w:tcW w:w="4498" w:type="dxa"/>
            <w:shd w:val="clear" w:color="auto" w:fill="auto"/>
            <w:vAlign w:val="center"/>
          </w:tcPr>
          <w:p w14:paraId="5B7926F2">
            <w:pPr>
              <w:spacing w:line="360" w:lineRule="auto"/>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地址：</w:t>
            </w:r>
          </w:p>
        </w:tc>
      </w:tr>
      <w:tr w14:paraId="4F6A1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63" w:hRule="exact"/>
          <w:jc w:val="center"/>
        </w:trPr>
        <w:tc>
          <w:tcPr>
            <w:tcW w:w="4261" w:type="dxa"/>
            <w:shd w:val="clear" w:color="auto" w:fill="auto"/>
            <w:vAlign w:val="center"/>
          </w:tcPr>
          <w:p w14:paraId="23BF31FB">
            <w:pPr>
              <w:spacing w:line="360" w:lineRule="auto"/>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邮编：</w:t>
            </w:r>
          </w:p>
        </w:tc>
        <w:tc>
          <w:tcPr>
            <w:tcW w:w="4498" w:type="dxa"/>
            <w:shd w:val="clear" w:color="auto" w:fill="auto"/>
            <w:vAlign w:val="center"/>
          </w:tcPr>
          <w:p w14:paraId="4B48C097">
            <w:pPr>
              <w:spacing w:line="360" w:lineRule="auto"/>
              <w:jc w:val="left"/>
              <w:rPr>
                <w:rFonts w:hint="default" w:ascii="宋体" w:hAnsi="宋体" w:eastAsia="宋体" w:cs="宋体"/>
                <w:kern w:val="2"/>
                <w:szCs w:val="24"/>
                <w:lang w:val="en-US" w:eastAsia="zh-CN" w:bidi="zh-TW"/>
              </w:rPr>
            </w:pPr>
            <w:r>
              <w:rPr>
                <w:rFonts w:hint="eastAsia" w:ascii="宋体" w:hAnsi="宋体" w:eastAsia="宋体" w:cs="宋体"/>
                <w:kern w:val="2"/>
                <w:szCs w:val="24"/>
                <w:lang w:val="zh-TW" w:eastAsia="zh-TW" w:bidi="zh-TW"/>
              </w:rPr>
              <w:t>邮编：</w:t>
            </w:r>
          </w:p>
        </w:tc>
      </w:tr>
      <w:tr w14:paraId="083B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94" w:hRule="exact"/>
          <w:jc w:val="center"/>
        </w:trPr>
        <w:tc>
          <w:tcPr>
            <w:tcW w:w="4261" w:type="dxa"/>
            <w:shd w:val="clear" w:color="auto" w:fill="auto"/>
            <w:vAlign w:val="top"/>
          </w:tcPr>
          <w:p w14:paraId="1F2AF0FB">
            <w:pPr>
              <w:autoSpaceDE w:val="0"/>
              <w:spacing w:line="360" w:lineRule="auto"/>
              <w:jc w:val="left"/>
              <w:rPr>
                <w:rFonts w:hAnsi="宋体" w:cs="宋体"/>
                <w:color w:val="000000"/>
                <w:szCs w:val="24"/>
              </w:rPr>
            </w:pPr>
            <w:r>
              <w:rPr>
                <w:rFonts w:hint="eastAsia" w:hAnsi="宋体" w:cs="宋体"/>
                <w:szCs w:val="24"/>
              </w:rPr>
              <w:t>法定代表人(签字</w:t>
            </w:r>
            <w:r>
              <w:rPr>
                <w:rFonts w:hint="eastAsia" w:hAnsi="宋体" w:cs="宋体"/>
                <w:szCs w:val="24"/>
                <w:lang w:val="en-US" w:eastAsia="zh-CN"/>
              </w:rPr>
              <w:t>或盖章</w:t>
            </w:r>
            <w:r>
              <w:rPr>
                <w:rFonts w:hint="eastAsia" w:hAnsi="宋体" w:cs="宋体"/>
                <w:szCs w:val="24"/>
              </w:rPr>
              <w:t>):</w:t>
            </w:r>
          </w:p>
          <w:p w14:paraId="553F813C">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6B80F795">
            <w:pPr>
              <w:autoSpaceDE w:val="0"/>
              <w:spacing w:line="360" w:lineRule="auto"/>
              <w:jc w:val="left"/>
              <w:rPr>
                <w:rFonts w:hAnsi="宋体" w:cs="宋体"/>
                <w:color w:val="000000"/>
                <w:szCs w:val="24"/>
              </w:rPr>
            </w:pPr>
            <w:r>
              <w:rPr>
                <w:rFonts w:hint="eastAsia" w:hAnsi="宋体" w:cs="宋体"/>
                <w:szCs w:val="24"/>
              </w:rPr>
              <w:t>法定代表人(签字</w:t>
            </w:r>
            <w:r>
              <w:rPr>
                <w:rFonts w:hint="eastAsia" w:hAnsi="宋体" w:cs="宋体"/>
                <w:szCs w:val="24"/>
                <w:lang w:val="en-US" w:eastAsia="zh-CN"/>
              </w:rPr>
              <w:t>或盖章</w:t>
            </w:r>
            <w:r>
              <w:rPr>
                <w:rFonts w:hint="eastAsia" w:hAnsi="宋体" w:cs="宋体"/>
                <w:szCs w:val="24"/>
              </w:rPr>
              <w:t>):</w:t>
            </w:r>
          </w:p>
          <w:p w14:paraId="1DA68285">
            <w:pPr>
              <w:autoSpaceDE w:val="0"/>
              <w:spacing w:line="360" w:lineRule="auto"/>
              <w:jc w:val="left"/>
              <w:rPr>
                <w:rFonts w:hint="eastAsia" w:ascii="宋体" w:hAnsi="宋体" w:eastAsia="宋体" w:cs="宋体"/>
                <w:kern w:val="2"/>
                <w:szCs w:val="24"/>
                <w:lang w:val="zh-TW" w:eastAsia="zh-TW" w:bidi="zh-TW"/>
              </w:rPr>
            </w:pPr>
          </w:p>
        </w:tc>
      </w:tr>
      <w:tr w14:paraId="5D579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63" w:hRule="exact"/>
          <w:jc w:val="center"/>
        </w:trPr>
        <w:tc>
          <w:tcPr>
            <w:tcW w:w="4261" w:type="dxa"/>
            <w:shd w:val="clear" w:color="auto" w:fill="auto"/>
            <w:vAlign w:val="top"/>
          </w:tcPr>
          <w:p w14:paraId="748A17BE">
            <w:pPr>
              <w:autoSpaceDE w:val="0"/>
              <w:spacing w:line="360" w:lineRule="auto"/>
              <w:jc w:val="left"/>
              <w:rPr>
                <w:rFonts w:hAnsi="宋体" w:cs="宋体"/>
                <w:color w:val="000000"/>
                <w:szCs w:val="24"/>
              </w:rPr>
            </w:pPr>
            <w:r>
              <w:rPr>
                <w:rFonts w:hint="eastAsia" w:hAnsi="宋体" w:cs="宋体"/>
                <w:szCs w:val="24"/>
              </w:rPr>
              <w:t>被授权代表:(签字)</w:t>
            </w:r>
          </w:p>
          <w:p w14:paraId="7A70D54E">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07F1E145">
            <w:pPr>
              <w:autoSpaceDE w:val="0"/>
              <w:spacing w:line="360" w:lineRule="auto"/>
              <w:jc w:val="left"/>
              <w:rPr>
                <w:rFonts w:hAnsi="宋体" w:cs="宋体"/>
                <w:color w:val="000000"/>
                <w:szCs w:val="24"/>
              </w:rPr>
            </w:pPr>
            <w:r>
              <w:rPr>
                <w:rFonts w:hint="eastAsia" w:hAnsi="宋体" w:cs="宋体"/>
                <w:szCs w:val="24"/>
              </w:rPr>
              <w:t>被授权代表:(签字)</w:t>
            </w:r>
          </w:p>
          <w:p w14:paraId="55668151">
            <w:pPr>
              <w:autoSpaceDE w:val="0"/>
              <w:spacing w:line="360" w:lineRule="auto"/>
              <w:jc w:val="left"/>
              <w:rPr>
                <w:rFonts w:hint="eastAsia" w:ascii="宋体" w:hAnsi="宋体" w:eastAsia="宋体" w:cs="宋体"/>
                <w:kern w:val="2"/>
                <w:szCs w:val="24"/>
                <w:lang w:val="zh-TW" w:eastAsia="zh-TW" w:bidi="zh-TW"/>
              </w:rPr>
            </w:pPr>
          </w:p>
        </w:tc>
      </w:tr>
      <w:tr w14:paraId="77A51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63" w:hRule="exact"/>
          <w:jc w:val="center"/>
        </w:trPr>
        <w:tc>
          <w:tcPr>
            <w:tcW w:w="4261" w:type="dxa"/>
            <w:shd w:val="clear" w:color="auto" w:fill="auto"/>
            <w:vAlign w:val="top"/>
          </w:tcPr>
          <w:p w14:paraId="379583D5">
            <w:pPr>
              <w:autoSpaceDE w:val="0"/>
              <w:spacing w:line="360" w:lineRule="auto"/>
              <w:jc w:val="left"/>
              <w:rPr>
                <w:rFonts w:hAnsi="宋体" w:cs="宋体"/>
                <w:color w:val="000000"/>
                <w:szCs w:val="24"/>
              </w:rPr>
            </w:pPr>
            <w:r>
              <w:rPr>
                <w:rFonts w:hint="eastAsia" w:hAnsi="宋体" w:cs="宋体"/>
                <w:szCs w:val="24"/>
              </w:rPr>
              <w:t>电话:</w:t>
            </w:r>
          </w:p>
          <w:p w14:paraId="56A467E5">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43918969">
            <w:pPr>
              <w:autoSpaceDE w:val="0"/>
              <w:spacing w:line="360" w:lineRule="auto"/>
              <w:jc w:val="left"/>
              <w:rPr>
                <w:rFonts w:hint="default" w:hAnsi="宋体" w:eastAsia="宋体" w:cs="宋体"/>
                <w:color w:val="000000"/>
                <w:szCs w:val="24"/>
                <w:lang w:val="en-US" w:eastAsia="zh-CN"/>
              </w:rPr>
            </w:pPr>
            <w:r>
              <w:rPr>
                <w:rFonts w:hint="eastAsia" w:hAnsi="宋体" w:cs="宋体"/>
                <w:szCs w:val="24"/>
              </w:rPr>
              <w:t>电话:</w:t>
            </w:r>
          </w:p>
          <w:p w14:paraId="6A4A3C3C">
            <w:pPr>
              <w:autoSpaceDE w:val="0"/>
              <w:spacing w:line="360" w:lineRule="auto"/>
              <w:jc w:val="left"/>
              <w:rPr>
                <w:rFonts w:hint="eastAsia" w:ascii="宋体" w:hAnsi="宋体" w:eastAsia="宋体" w:cs="宋体"/>
                <w:kern w:val="2"/>
                <w:szCs w:val="24"/>
                <w:lang w:val="zh-TW" w:eastAsia="zh-TW" w:bidi="zh-TW"/>
              </w:rPr>
            </w:pPr>
          </w:p>
        </w:tc>
      </w:tr>
      <w:tr w14:paraId="63EF4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63" w:hRule="exact"/>
          <w:jc w:val="center"/>
        </w:trPr>
        <w:tc>
          <w:tcPr>
            <w:tcW w:w="4261" w:type="dxa"/>
            <w:shd w:val="clear" w:color="auto" w:fill="auto"/>
            <w:vAlign w:val="top"/>
          </w:tcPr>
          <w:p w14:paraId="56724DEF">
            <w:pPr>
              <w:autoSpaceDE w:val="0"/>
              <w:spacing w:line="360" w:lineRule="auto"/>
              <w:jc w:val="left"/>
              <w:rPr>
                <w:rFonts w:hAnsi="宋体" w:cs="宋体"/>
                <w:color w:val="000000"/>
                <w:szCs w:val="24"/>
              </w:rPr>
            </w:pPr>
            <w:r>
              <w:rPr>
                <w:rFonts w:hint="eastAsia" w:hAnsi="宋体" w:cs="宋体"/>
                <w:szCs w:val="24"/>
              </w:rPr>
              <w:t>传真:</w:t>
            </w:r>
          </w:p>
          <w:p w14:paraId="263E1C47">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46B61466">
            <w:pPr>
              <w:autoSpaceDE w:val="0"/>
              <w:spacing w:line="360" w:lineRule="auto"/>
              <w:jc w:val="left"/>
              <w:rPr>
                <w:rFonts w:hAnsi="宋体" w:cs="宋体"/>
                <w:color w:val="000000"/>
                <w:szCs w:val="24"/>
              </w:rPr>
            </w:pPr>
            <w:r>
              <w:rPr>
                <w:rFonts w:hint="eastAsia" w:hAnsi="宋体" w:cs="宋体"/>
                <w:szCs w:val="24"/>
              </w:rPr>
              <w:t>传真:</w:t>
            </w:r>
          </w:p>
          <w:p w14:paraId="65BA59FE">
            <w:pPr>
              <w:autoSpaceDE w:val="0"/>
              <w:spacing w:line="360" w:lineRule="auto"/>
              <w:jc w:val="left"/>
              <w:rPr>
                <w:rFonts w:hint="eastAsia" w:ascii="宋体" w:hAnsi="宋体" w:eastAsia="宋体" w:cs="宋体"/>
                <w:kern w:val="2"/>
                <w:szCs w:val="24"/>
                <w:lang w:val="zh-TW" w:eastAsia="zh-TW" w:bidi="zh-TW"/>
              </w:rPr>
            </w:pPr>
          </w:p>
        </w:tc>
      </w:tr>
      <w:tr w14:paraId="1147F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46" w:hRule="exact"/>
          <w:jc w:val="center"/>
        </w:trPr>
        <w:tc>
          <w:tcPr>
            <w:tcW w:w="4261" w:type="dxa"/>
            <w:shd w:val="clear" w:color="auto" w:fill="auto"/>
            <w:vAlign w:val="top"/>
          </w:tcPr>
          <w:p w14:paraId="46649E89">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149FCAC9">
            <w:pPr>
              <w:autoSpaceDE w:val="0"/>
              <w:spacing w:line="360" w:lineRule="auto"/>
              <w:jc w:val="left"/>
              <w:rPr>
                <w:rFonts w:hAnsi="宋体" w:cs="宋体"/>
                <w:color w:val="000000"/>
                <w:szCs w:val="24"/>
              </w:rPr>
            </w:pPr>
            <w:r>
              <w:rPr>
                <w:rFonts w:hint="eastAsia" w:hAnsi="宋体" w:cs="宋体"/>
                <w:szCs w:val="24"/>
              </w:rPr>
              <w:t>开户银行:</w:t>
            </w:r>
          </w:p>
          <w:p w14:paraId="1B556B0F">
            <w:pPr>
              <w:autoSpaceDE w:val="0"/>
              <w:spacing w:line="360" w:lineRule="auto"/>
              <w:jc w:val="left"/>
              <w:rPr>
                <w:rFonts w:hint="eastAsia" w:ascii="宋体" w:hAnsi="宋体" w:eastAsia="宋体" w:cs="宋体"/>
                <w:kern w:val="2"/>
                <w:szCs w:val="24"/>
                <w:lang w:val="zh-TW" w:eastAsia="zh-TW" w:bidi="zh-TW"/>
              </w:rPr>
            </w:pPr>
          </w:p>
        </w:tc>
      </w:tr>
      <w:tr w14:paraId="0B46F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65" w:hRule="exact"/>
          <w:jc w:val="center"/>
        </w:trPr>
        <w:tc>
          <w:tcPr>
            <w:tcW w:w="4261" w:type="dxa"/>
            <w:shd w:val="clear" w:color="auto" w:fill="auto"/>
            <w:vAlign w:val="top"/>
          </w:tcPr>
          <w:p w14:paraId="3AEB1E08">
            <w:pPr>
              <w:autoSpaceDE w:val="0"/>
              <w:spacing w:line="360" w:lineRule="auto"/>
              <w:jc w:val="left"/>
              <w:rPr>
                <w:rFonts w:hint="eastAsia" w:ascii="宋体" w:hAnsi="宋体" w:eastAsia="宋体" w:cs="宋体"/>
                <w:kern w:val="2"/>
                <w:szCs w:val="24"/>
                <w:lang w:val="zh-TW" w:eastAsia="zh-TW" w:bidi="zh-TW"/>
              </w:rPr>
            </w:pPr>
          </w:p>
        </w:tc>
        <w:tc>
          <w:tcPr>
            <w:tcW w:w="4498" w:type="dxa"/>
            <w:shd w:val="clear" w:color="auto" w:fill="auto"/>
            <w:vAlign w:val="top"/>
          </w:tcPr>
          <w:p w14:paraId="7CB62774">
            <w:pPr>
              <w:autoSpaceDE w:val="0"/>
              <w:spacing w:line="360" w:lineRule="auto"/>
              <w:jc w:val="left"/>
              <w:rPr>
                <w:rFonts w:hAnsi="宋体" w:cs="宋体"/>
                <w:color w:val="000000"/>
                <w:szCs w:val="24"/>
              </w:rPr>
            </w:pPr>
            <w:r>
              <w:rPr>
                <w:rFonts w:hint="eastAsia" w:hAnsi="宋体" w:cs="宋体"/>
                <w:szCs w:val="24"/>
              </w:rPr>
              <w:t>账号:</w:t>
            </w:r>
          </w:p>
          <w:p w14:paraId="4527F909">
            <w:pPr>
              <w:autoSpaceDE w:val="0"/>
              <w:spacing w:line="360" w:lineRule="auto"/>
              <w:jc w:val="left"/>
              <w:rPr>
                <w:rFonts w:hint="eastAsia" w:ascii="宋体" w:hAnsi="宋体" w:eastAsia="宋体" w:cs="宋体"/>
                <w:kern w:val="2"/>
                <w:szCs w:val="24"/>
                <w:lang w:val="zh-TW" w:eastAsia="zh-TW" w:bidi="zh-TW"/>
              </w:rPr>
            </w:pPr>
          </w:p>
        </w:tc>
      </w:tr>
      <w:tr w14:paraId="7D4ED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23" w:hRule="exact"/>
          <w:jc w:val="center"/>
        </w:trPr>
        <w:tc>
          <w:tcPr>
            <w:tcW w:w="4261" w:type="dxa"/>
            <w:shd w:val="clear" w:color="auto" w:fill="auto"/>
            <w:vAlign w:val="center"/>
          </w:tcPr>
          <w:p w14:paraId="3EF355C5">
            <w:pPr>
              <w:spacing w:line="360" w:lineRule="auto"/>
              <w:ind w:firstLine="480" w:firstLineChars="200"/>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日期：      年 月  日</w:t>
            </w:r>
          </w:p>
        </w:tc>
        <w:tc>
          <w:tcPr>
            <w:tcW w:w="4498" w:type="dxa"/>
            <w:shd w:val="clear" w:color="auto" w:fill="auto"/>
            <w:vAlign w:val="center"/>
          </w:tcPr>
          <w:p w14:paraId="61929B01">
            <w:pPr>
              <w:spacing w:line="360" w:lineRule="auto"/>
              <w:ind w:firstLine="480" w:firstLineChars="200"/>
              <w:jc w:val="left"/>
              <w:rPr>
                <w:rFonts w:hint="eastAsia" w:ascii="宋体" w:hAnsi="宋体" w:eastAsia="宋体" w:cs="宋体"/>
                <w:kern w:val="2"/>
                <w:szCs w:val="24"/>
                <w:lang w:val="zh-TW" w:eastAsia="zh-TW" w:bidi="zh-TW"/>
              </w:rPr>
            </w:pPr>
            <w:r>
              <w:rPr>
                <w:rFonts w:hint="eastAsia" w:ascii="宋体" w:hAnsi="宋体" w:eastAsia="宋体" w:cs="宋体"/>
                <w:kern w:val="2"/>
                <w:szCs w:val="24"/>
                <w:lang w:val="zh-TW" w:eastAsia="zh-TW" w:bidi="zh-TW"/>
              </w:rPr>
              <w:t>日期：      年 月  日</w:t>
            </w:r>
          </w:p>
        </w:tc>
      </w:tr>
    </w:tbl>
    <w:p w14:paraId="2B3A10E2">
      <w:pPr>
        <w:widowControl w:val="0"/>
        <w:spacing w:line="360" w:lineRule="auto"/>
        <w:ind w:firstLine="560" w:firstLineChars="200"/>
        <w:jc w:val="left"/>
        <w:rPr>
          <w:rFonts w:hint="eastAsia" w:ascii="宋体" w:hAnsi="宋体" w:eastAsia="宋体" w:cs="宋体"/>
          <w:kern w:val="2"/>
          <w:sz w:val="28"/>
          <w:szCs w:val="24"/>
          <w:lang w:val="zh-TW" w:eastAsia="zh-TW" w:bidi="ar-SA"/>
        </w:rPr>
      </w:pPr>
    </w:p>
    <w:p w14:paraId="38D3C6B7">
      <w:pPr>
        <w:rPr>
          <w:rFonts w:hint="eastAsia" w:ascii="宋体" w:hAnsi="宋体" w:eastAsia="宋体" w:cs="宋体"/>
          <w:sz w:val="20"/>
          <w:lang w:val="en-US" w:eastAsia="zh-Hans"/>
        </w:rPr>
      </w:pPr>
      <w:r>
        <w:rPr>
          <w:rFonts w:hint="eastAsia" w:ascii="宋体" w:hAnsi="宋体" w:eastAsia="宋体" w:cs="宋体"/>
          <w:sz w:val="20"/>
          <w:lang w:val="en-US" w:eastAsia="zh-Hans"/>
        </w:rPr>
        <w:br w:type="page"/>
      </w:r>
    </w:p>
    <w:p w14:paraId="6504F15C">
      <w:pPr>
        <w:ind w:firstLine="400"/>
        <w:jc w:val="both"/>
        <w:rPr>
          <w:rFonts w:hint="default" w:ascii="宋体" w:hAnsi="宋体" w:eastAsia="宋体" w:cs="宋体"/>
          <w:sz w:val="20"/>
          <w:lang w:val="en-US" w:eastAsia="zh-CN"/>
        </w:rPr>
      </w:pPr>
      <w:r>
        <w:rPr>
          <w:rFonts w:hint="eastAsia" w:ascii="宋体" w:hAnsi="宋体" w:eastAsia="宋体" w:cs="宋体"/>
          <w:sz w:val="20"/>
          <w:lang w:val="en-US" w:eastAsia="zh-CN"/>
        </w:rPr>
        <w:t>附件：检测项目</w:t>
      </w:r>
    </w:p>
    <w:p w14:paraId="7888020D">
      <w:pPr>
        <w:ind w:firstLine="400"/>
        <w:jc w:val="both"/>
        <w:rPr>
          <w:rFonts w:hint="eastAsia" w:ascii="Calibri" w:hAnsi="Calibri" w:eastAsia="宋体" w:cs="Times New Roman"/>
          <w:lang w:val="en-US" w:eastAsia="zh-Hans"/>
        </w:rPr>
      </w:pPr>
      <w:r>
        <w:rPr>
          <w:rFonts w:hint="eastAsia" w:ascii="宋体" w:hAnsi="宋体" w:eastAsia="宋体" w:cs="宋体"/>
          <w:sz w:val="20"/>
          <w:lang w:val="en-US" w:eastAsia="zh-Hans"/>
        </w:rPr>
        <w:t>（1）环境质量及应急监测</w:t>
      </w:r>
    </w:p>
    <w:tbl>
      <w:tblPr>
        <w:tblStyle w:val="6"/>
        <w:tblW w:w="88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9"/>
        <w:gridCol w:w="429"/>
        <w:gridCol w:w="876"/>
        <w:gridCol w:w="2436"/>
        <w:gridCol w:w="4668"/>
      </w:tblGrid>
      <w:tr w14:paraId="297EB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9" w:type="dxa"/>
            <w:tcMar>
              <w:top w:w="0" w:type="dxa"/>
              <w:left w:w="105" w:type="dxa"/>
              <w:bottom w:w="0" w:type="dxa"/>
              <w:right w:w="105" w:type="dxa"/>
            </w:tcMar>
            <w:vAlign w:val="center"/>
          </w:tcPr>
          <w:p w14:paraId="04FFF134">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序号</w:t>
            </w:r>
          </w:p>
        </w:tc>
        <w:tc>
          <w:tcPr>
            <w:tcW w:w="1305" w:type="dxa"/>
            <w:gridSpan w:val="2"/>
            <w:tcMar>
              <w:top w:w="0" w:type="dxa"/>
              <w:left w:w="105" w:type="dxa"/>
              <w:bottom w:w="0" w:type="dxa"/>
              <w:right w:w="105" w:type="dxa"/>
            </w:tcMar>
            <w:vAlign w:val="center"/>
          </w:tcPr>
          <w:p w14:paraId="497EEEAA">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类别</w:t>
            </w:r>
          </w:p>
        </w:tc>
        <w:tc>
          <w:tcPr>
            <w:tcW w:w="2436" w:type="dxa"/>
            <w:tcMar>
              <w:top w:w="0" w:type="dxa"/>
              <w:left w:w="105" w:type="dxa"/>
              <w:bottom w:w="0" w:type="dxa"/>
              <w:right w:w="105" w:type="dxa"/>
            </w:tcMar>
            <w:vAlign w:val="center"/>
          </w:tcPr>
          <w:p w14:paraId="193CCD84">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监测对象/标准</w:t>
            </w:r>
          </w:p>
        </w:tc>
        <w:tc>
          <w:tcPr>
            <w:tcW w:w="4668" w:type="dxa"/>
            <w:tcMar>
              <w:top w:w="0" w:type="dxa"/>
              <w:left w:w="105" w:type="dxa"/>
              <w:bottom w:w="0" w:type="dxa"/>
              <w:right w:w="105" w:type="dxa"/>
            </w:tcMar>
            <w:vAlign w:val="center"/>
          </w:tcPr>
          <w:p w14:paraId="48F125AD">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检测项目</w:t>
            </w:r>
          </w:p>
        </w:tc>
      </w:tr>
      <w:tr w14:paraId="0B57C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6" w:hRule="atLeast"/>
          <w:jc w:val="center"/>
        </w:trPr>
        <w:tc>
          <w:tcPr>
            <w:tcW w:w="429" w:type="dxa"/>
            <w:vMerge w:val="restart"/>
            <w:tcMar>
              <w:top w:w="0" w:type="dxa"/>
              <w:left w:w="105" w:type="dxa"/>
              <w:bottom w:w="0" w:type="dxa"/>
              <w:right w:w="105" w:type="dxa"/>
            </w:tcMar>
            <w:vAlign w:val="center"/>
          </w:tcPr>
          <w:p w14:paraId="01607F03">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1</w:t>
            </w:r>
          </w:p>
        </w:tc>
        <w:tc>
          <w:tcPr>
            <w:tcW w:w="429" w:type="dxa"/>
            <w:vMerge w:val="restart"/>
            <w:tcMar>
              <w:top w:w="0" w:type="dxa"/>
              <w:left w:w="105" w:type="dxa"/>
              <w:bottom w:w="0" w:type="dxa"/>
              <w:right w:w="105" w:type="dxa"/>
            </w:tcMar>
            <w:vAlign w:val="center"/>
          </w:tcPr>
          <w:p w14:paraId="16FD5651">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水质</w:t>
            </w:r>
          </w:p>
        </w:tc>
        <w:tc>
          <w:tcPr>
            <w:tcW w:w="876" w:type="dxa"/>
            <w:tcMar>
              <w:top w:w="0" w:type="dxa"/>
              <w:left w:w="105" w:type="dxa"/>
              <w:bottom w:w="0" w:type="dxa"/>
              <w:right w:w="105" w:type="dxa"/>
            </w:tcMar>
            <w:vAlign w:val="center"/>
          </w:tcPr>
          <w:p w14:paraId="48C3724F">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地表水</w:t>
            </w:r>
          </w:p>
        </w:tc>
        <w:tc>
          <w:tcPr>
            <w:tcW w:w="2436" w:type="dxa"/>
            <w:tcMar>
              <w:top w:w="0" w:type="dxa"/>
              <w:left w:w="105" w:type="dxa"/>
              <w:bottom w:w="0" w:type="dxa"/>
              <w:right w:w="105" w:type="dxa"/>
            </w:tcMar>
            <w:vAlign w:val="center"/>
          </w:tcPr>
          <w:p w14:paraId="14B328C9">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《地表水环境质量标准》</w:t>
            </w:r>
          </w:p>
          <w:p w14:paraId="2509C9A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（GB 3838-2002）</w:t>
            </w:r>
          </w:p>
        </w:tc>
        <w:tc>
          <w:tcPr>
            <w:tcW w:w="4668" w:type="dxa"/>
            <w:tcMar>
              <w:top w:w="0" w:type="dxa"/>
              <w:left w:w="105" w:type="dxa"/>
              <w:bottom w:w="0" w:type="dxa"/>
              <w:right w:w="105" w:type="dxa"/>
            </w:tcMar>
            <w:vAlign w:val="center"/>
          </w:tcPr>
          <w:p w14:paraId="0DB511F5">
            <w:pPr>
              <w:ind w:firstLine="400"/>
              <w:jc w:val="both"/>
              <w:rPr>
                <w:rFonts w:hint="eastAsia" w:ascii="Calibri" w:hAnsi="Calibri" w:eastAsia="宋体" w:cs="Times New Roman"/>
                <w:lang w:val="en-US" w:eastAsia="zh-Hans"/>
              </w:rPr>
            </w:pPr>
            <w:r>
              <w:rPr>
                <w:rFonts w:hint="eastAsia" w:ascii="宋体" w:hAnsi="宋体" w:eastAsia="宋体" w:cs="宋体"/>
                <w:sz w:val="20"/>
                <w:lang w:val="en-US" w:eastAsia="zh-Hans"/>
              </w:rPr>
              <w:t>水温、pH值、溶解氧、高锰酸盐指数、生化需氧量、氨氮、石油类、挥发酚、汞、铅、总磷、化学需氧量、铜、锌、氟化物、硒、砷、镉、铬（六价）、氰化物、阴离子表面活性剂和硫化物、粪大肠菌群、总氮</w:t>
            </w:r>
          </w:p>
        </w:tc>
      </w:tr>
      <w:tr w14:paraId="6C2A7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3" w:hRule="atLeast"/>
          <w:jc w:val="center"/>
        </w:trPr>
        <w:tc>
          <w:tcPr>
            <w:tcW w:w="429" w:type="dxa"/>
            <w:vMerge w:val="continue"/>
            <w:vAlign w:val="center"/>
          </w:tcPr>
          <w:p w14:paraId="31160661">
            <w:pPr>
              <w:jc w:val="center"/>
              <w:rPr>
                <w:rFonts w:ascii="Calibri" w:hAnsi="Calibri" w:eastAsia="宋体" w:cs="Times New Roman"/>
                <w:kern w:val="2"/>
                <w:sz w:val="21"/>
                <w:szCs w:val="24"/>
              </w:rPr>
            </w:pPr>
          </w:p>
        </w:tc>
        <w:tc>
          <w:tcPr>
            <w:tcW w:w="429" w:type="dxa"/>
            <w:vMerge w:val="continue"/>
            <w:vAlign w:val="center"/>
          </w:tcPr>
          <w:p w14:paraId="0B325451">
            <w:pPr>
              <w:jc w:val="center"/>
              <w:rPr>
                <w:rFonts w:ascii="Calibri" w:hAnsi="Calibri" w:eastAsia="宋体" w:cs="Times New Roman"/>
                <w:kern w:val="2"/>
                <w:sz w:val="21"/>
                <w:szCs w:val="24"/>
              </w:rPr>
            </w:pPr>
          </w:p>
        </w:tc>
        <w:tc>
          <w:tcPr>
            <w:tcW w:w="876" w:type="dxa"/>
            <w:tcMar>
              <w:top w:w="0" w:type="dxa"/>
              <w:left w:w="105" w:type="dxa"/>
              <w:bottom w:w="0" w:type="dxa"/>
              <w:right w:w="105" w:type="dxa"/>
            </w:tcMar>
            <w:vAlign w:val="center"/>
          </w:tcPr>
          <w:p w14:paraId="4A5C735B">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地下水</w:t>
            </w:r>
          </w:p>
        </w:tc>
        <w:tc>
          <w:tcPr>
            <w:tcW w:w="2436" w:type="dxa"/>
            <w:tcMar>
              <w:top w:w="0" w:type="dxa"/>
              <w:left w:w="105" w:type="dxa"/>
              <w:bottom w:w="0" w:type="dxa"/>
              <w:right w:w="105" w:type="dxa"/>
            </w:tcMar>
            <w:vAlign w:val="center"/>
          </w:tcPr>
          <w:p w14:paraId="29141D39">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《地下水质量标准》</w:t>
            </w:r>
          </w:p>
          <w:p w14:paraId="6A1A034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GB/T14848-2017</w:t>
            </w:r>
          </w:p>
        </w:tc>
        <w:tc>
          <w:tcPr>
            <w:tcW w:w="4668" w:type="dxa"/>
            <w:tcMar>
              <w:top w:w="0" w:type="dxa"/>
              <w:left w:w="105" w:type="dxa"/>
              <w:bottom w:w="0" w:type="dxa"/>
              <w:right w:w="105" w:type="dxa"/>
            </w:tcMar>
            <w:vAlign w:val="center"/>
          </w:tcPr>
          <w:p w14:paraId="04068B67">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色度、嗅和味、浑浊度、肉眼可见物、pH值、总硬度、溶解性总固体、硫酸盐、氯化物、硝酸盐（以N计）、铁、锰、铜、锌、铝、挥发酚、阴离子表面活性剂、耗氧量、氨氮、硫化物、钠、总大肠菌群、菌落总数、亚硝酸盐氮、氟化物、氰化物、碘化物、汞、砷、硒、镉、铅、六价铬、三氯甲烷、四氯化碳、苯、甲苯、总α放射性、总β放射性、铍、硼、锑、钡、镍、钴、钼、银、铊、二氯甲烷、1,2-二氯乙烷、1,1,1-三氯乙烷、1,1,2-三氯乙烷、1,2-二氯丙烷、三溴甲烷、氯乙烯、1,1-二氯乙烯、1,2-二氯乙烯、三氯乙烯、四氯乙烯、氯苯、邻二氯苯、对二氯苯、乙苯、二甲苯、苯乙烯、三氯苯、2,4二硝基甲苯、2,6-二硝基甲苯、萘、蒽、荧蒽、苯并［a］芘、苯并［b］荧蒽、多氯联苯、邻苯二甲酸二（2-乙基己基）酯、2,4,6-三氯酚、五氯酚、六六六、林丹、滴滴涕、六氯苯、七氯、2,4-滴、克百威、涕灭威、敌敌畏、甲基对硫磷、马拉硫磷、乐果、毒死蜱、百菌清、莠去津、草甘膦</w:t>
            </w:r>
          </w:p>
        </w:tc>
      </w:tr>
      <w:tr w14:paraId="52C05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429" w:type="dxa"/>
            <w:vMerge w:val="restart"/>
            <w:tcMar>
              <w:top w:w="0" w:type="dxa"/>
              <w:left w:w="105" w:type="dxa"/>
              <w:bottom w:w="0" w:type="dxa"/>
              <w:right w:w="105" w:type="dxa"/>
            </w:tcMar>
            <w:vAlign w:val="center"/>
          </w:tcPr>
          <w:p w14:paraId="457938A8">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2</w:t>
            </w:r>
          </w:p>
        </w:tc>
        <w:tc>
          <w:tcPr>
            <w:tcW w:w="429" w:type="dxa"/>
            <w:vMerge w:val="restart"/>
            <w:tcMar>
              <w:top w:w="0" w:type="dxa"/>
              <w:left w:w="105" w:type="dxa"/>
              <w:bottom w:w="0" w:type="dxa"/>
              <w:right w:w="105" w:type="dxa"/>
            </w:tcMar>
            <w:vAlign w:val="center"/>
          </w:tcPr>
          <w:p w14:paraId="4195681E">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空气</w:t>
            </w:r>
          </w:p>
        </w:tc>
        <w:tc>
          <w:tcPr>
            <w:tcW w:w="876" w:type="dxa"/>
            <w:tcMar>
              <w:top w:w="0" w:type="dxa"/>
              <w:left w:w="105" w:type="dxa"/>
              <w:bottom w:w="0" w:type="dxa"/>
              <w:right w:w="105" w:type="dxa"/>
            </w:tcMar>
            <w:vAlign w:val="center"/>
          </w:tcPr>
          <w:p w14:paraId="085CE330">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环境空气质量</w:t>
            </w:r>
          </w:p>
        </w:tc>
        <w:tc>
          <w:tcPr>
            <w:tcW w:w="2436" w:type="dxa"/>
            <w:tcMar>
              <w:top w:w="0" w:type="dxa"/>
              <w:left w:w="105" w:type="dxa"/>
              <w:bottom w:w="0" w:type="dxa"/>
              <w:right w:w="105" w:type="dxa"/>
            </w:tcMar>
            <w:vAlign w:val="center"/>
          </w:tcPr>
          <w:p w14:paraId="4DDA22AE">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《环境空气质量标准》（GB 3095-2012）二级标准</w:t>
            </w:r>
          </w:p>
        </w:tc>
        <w:tc>
          <w:tcPr>
            <w:tcW w:w="4668" w:type="dxa"/>
            <w:tcMar>
              <w:top w:w="0" w:type="dxa"/>
              <w:left w:w="105" w:type="dxa"/>
              <w:bottom w:w="0" w:type="dxa"/>
              <w:right w:w="105" w:type="dxa"/>
            </w:tcMar>
            <w:vAlign w:val="center"/>
          </w:tcPr>
          <w:p w14:paraId="7192D50D">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二氧化硫、二氧化氮、一氧化碳、臭氧（8小时平均）、PM</w:t>
            </w:r>
            <w:r>
              <w:rPr>
                <w:rFonts w:hint="eastAsia" w:ascii="宋体" w:hAnsi="宋体" w:eastAsia="宋体" w:cs="宋体"/>
                <w:sz w:val="20"/>
                <w:vertAlign w:val="subscript"/>
                <w:lang w:val="en-US" w:eastAsia="zh-Hans"/>
              </w:rPr>
              <w:t>10</w:t>
            </w:r>
            <w:r>
              <w:rPr>
                <w:rFonts w:hint="eastAsia" w:ascii="宋体" w:hAnsi="宋体" w:eastAsia="宋体" w:cs="宋体"/>
                <w:sz w:val="20"/>
                <w:lang w:val="en-US" w:eastAsia="zh-Hans"/>
              </w:rPr>
              <w:t>（24小时平均）、PM</w:t>
            </w:r>
            <w:r>
              <w:rPr>
                <w:rFonts w:hint="eastAsia" w:ascii="宋体" w:hAnsi="宋体" w:eastAsia="宋体" w:cs="宋体"/>
                <w:sz w:val="20"/>
                <w:vertAlign w:val="subscript"/>
                <w:lang w:val="en-US" w:eastAsia="zh-Hans"/>
              </w:rPr>
              <w:t>2.5</w:t>
            </w:r>
            <w:r>
              <w:rPr>
                <w:rFonts w:hint="eastAsia" w:ascii="宋体" w:hAnsi="宋体" w:eastAsia="宋体" w:cs="宋体"/>
                <w:sz w:val="20"/>
                <w:lang w:val="en-US" w:eastAsia="zh-Hans"/>
              </w:rPr>
              <w:t>（24小时平均）</w:t>
            </w:r>
          </w:p>
        </w:tc>
      </w:tr>
      <w:tr w14:paraId="3A0C4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429" w:type="dxa"/>
            <w:vMerge w:val="continue"/>
            <w:vAlign w:val="center"/>
          </w:tcPr>
          <w:p w14:paraId="5D26502A">
            <w:pPr>
              <w:jc w:val="center"/>
              <w:rPr>
                <w:rFonts w:ascii="Calibri" w:hAnsi="Calibri" w:eastAsia="宋体" w:cs="Times New Roman"/>
                <w:kern w:val="2"/>
                <w:sz w:val="21"/>
                <w:szCs w:val="24"/>
              </w:rPr>
            </w:pPr>
          </w:p>
        </w:tc>
        <w:tc>
          <w:tcPr>
            <w:tcW w:w="429" w:type="dxa"/>
            <w:vMerge w:val="continue"/>
            <w:vAlign w:val="center"/>
          </w:tcPr>
          <w:p w14:paraId="4E8357CF">
            <w:pPr>
              <w:jc w:val="center"/>
              <w:rPr>
                <w:rFonts w:ascii="Calibri" w:hAnsi="Calibri" w:eastAsia="宋体" w:cs="Times New Roman"/>
                <w:kern w:val="2"/>
                <w:sz w:val="21"/>
                <w:szCs w:val="24"/>
              </w:rPr>
            </w:pPr>
          </w:p>
        </w:tc>
        <w:tc>
          <w:tcPr>
            <w:tcW w:w="876" w:type="dxa"/>
            <w:tcMar>
              <w:top w:w="0" w:type="dxa"/>
              <w:left w:w="105" w:type="dxa"/>
              <w:bottom w:w="0" w:type="dxa"/>
              <w:right w:w="105" w:type="dxa"/>
            </w:tcMar>
            <w:vAlign w:val="center"/>
          </w:tcPr>
          <w:p w14:paraId="7113AD0F">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降尘</w:t>
            </w:r>
          </w:p>
        </w:tc>
        <w:tc>
          <w:tcPr>
            <w:tcW w:w="2436" w:type="dxa"/>
            <w:tcMar>
              <w:top w:w="0" w:type="dxa"/>
              <w:left w:w="105" w:type="dxa"/>
              <w:bottom w:w="0" w:type="dxa"/>
              <w:right w:w="105" w:type="dxa"/>
            </w:tcMar>
            <w:vAlign w:val="center"/>
          </w:tcPr>
          <w:p w14:paraId="1DFA6D3A">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降尘的评价标准执行陕西省控制标准（18吨/平方千米·月）</w:t>
            </w:r>
          </w:p>
        </w:tc>
        <w:tc>
          <w:tcPr>
            <w:tcW w:w="4668" w:type="dxa"/>
            <w:tcMar>
              <w:top w:w="0" w:type="dxa"/>
              <w:left w:w="105" w:type="dxa"/>
              <w:bottom w:w="0" w:type="dxa"/>
              <w:right w:w="105" w:type="dxa"/>
            </w:tcMar>
            <w:vAlign w:val="center"/>
          </w:tcPr>
          <w:p w14:paraId="06918BF3">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降尘</w:t>
            </w:r>
          </w:p>
        </w:tc>
      </w:tr>
      <w:tr w14:paraId="2E62E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9" w:type="dxa"/>
            <w:vMerge w:val="restart"/>
            <w:tcMar>
              <w:top w:w="0" w:type="dxa"/>
              <w:left w:w="105" w:type="dxa"/>
              <w:bottom w:w="0" w:type="dxa"/>
              <w:right w:w="105" w:type="dxa"/>
            </w:tcMar>
            <w:vAlign w:val="center"/>
          </w:tcPr>
          <w:p w14:paraId="5C05FE10">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3</w:t>
            </w:r>
          </w:p>
        </w:tc>
        <w:tc>
          <w:tcPr>
            <w:tcW w:w="429" w:type="dxa"/>
            <w:vMerge w:val="restart"/>
            <w:tcMar>
              <w:top w:w="0" w:type="dxa"/>
              <w:left w:w="105" w:type="dxa"/>
              <w:bottom w:w="0" w:type="dxa"/>
              <w:right w:w="105" w:type="dxa"/>
            </w:tcMar>
            <w:vAlign w:val="center"/>
          </w:tcPr>
          <w:p w14:paraId="3F33C86C">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噪声</w:t>
            </w:r>
          </w:p>
        </w:tc>
        <w:tc>
          <w:tcPr>
            <w:tcW w:w="876" w:type="dxa"/>
            <w:tcMar>
              <w:top w:w="0" w:type="dxa"/>
              <w:left w:w="105" w:type="dxa"/>
              <w:bottom w:w="0" w:type="dxa"/>
              <w:right w:w="105" w:type="dxa"/>
            </w:tcMar>
            <w:vAlign w:val="center"/>
          </w:tcPr>
          <w:p w14:paraId="13B19DD5">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声功能区噪声</w:t>
            </w:r>
          </w:p>
        </w:tc>
        <w:tc>
          <w:tcPr>
            <w:tcW w:w="2436" w:type="dxa"/>
            <w:tcMar>
              <w:top w:w="0" w:type="dxa"/>
              <w:left w:w="105" w:type="dxa"/>
              <w:bottom w:w="0" w:type="dxa"/>
              <w:right w:w="105" w:type="dxa"/>
            </w:tcMar>
            <w:vAlign w:val="center"/>
          </w:tcPr>
          <w:p w14:paraId="0DB7955D">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《声环境质量标准》</w:t>
            </w:r>
          </w:p>
          <w:p w14:paraId="4CF9D174">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（GB3096-2008）</w:t>
            </w:r>
          </w:p>
        </w:tc>
        <w:tc>
          <w:tcPr>
            <w:tcW w:w="4668" w:type="dxa"/>
            <w:tcMar>
              <w:top w:w="0" w:type="dxa"/>
              <w:left w:w="105" w:type="dxa"/>
              <w:bottom w:w="0" w:type="dxa"/>
              <w:right w:w="105" w:type="dxa"/>
            </w:tcMar>
            <w:vAlign w:val="center"/>
          </w:tcPr>
          <w:p w14:paraId="611F4A21">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昼间噪声、夜间噪声</w:t>
            </w:r>
          </w:p>
        </w:tc>
      </w:tr>
      <w:tr w14:paraId="40D0C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9" w:type="dxa"/>
            <w:vMerge w:val="continue"/>
            <w:vAlign w:val="center"/>
          </w:tcPr>
          <w:p w14:paraId="1EF2BACA">
            <w:pPr>
              <w:jc w:val="center"/>
              <w:rPr>
                <w:rFonts w:ascii="Calibri" w:hAnsi="Calibri" w:eastAsia="宋体" w:cs="Times New Roman"/>
                <w:kern w:val="2"/>
                <w:sz w:val="21"/>
                <w:szCs w:val="24"/>
              </w:rPr>
            </w:pPr>
          </w:p>
        </w:tc>
        <w:tc>
          <w:tcPr>
            <w:tcW w:w="429" w:type="dxa"/>
            <w:vMerge w:val="continue"/>
            <w:vAlign w:val="center"/>
          </w:tcPr>
          <w:p w14:paraId="1BA35E54">
            <w:pPr>
              <w:jc w:val="center"/>
              <w:rPr>
                <w:rFonts w:ascii="Calibri" w:hAnsi="Calibri" w:eastAsia="宋体" w:cs="Times New Roman"/>
                <w:kern w:val="2"/>
                <w:sz w:val="21"/>
                <w:szCs w:val="24"/>
              </w:rPr>
            </w:pPr>
          </w:p>
        </w:tc>
        <w:tc>
          <w:tcPr>
            <w:tcW w:w="876" w:type="dxa"/>
            <w:tcMar>
              <w:top w:w="0" w:type="dxa"/>
              <w:left w:w="105" w:type="dxa"/>
              <w:bottom w:w="0" w:type="dxa"/>
              <w:right w:w="105" w:type="dxa"/>
            </w:tcMar>
            <w:vAlign w:val="center"/>
          </w:tcPr>
          <w:p w14:paraId="444E998A">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区域环境噪声</w:t>
            </w:r>
          </w:p>
        </w:tc>
        <w:tc>
          <w:tcPr>
            <w:tcW w:w="2436" w:type="dxa"/>
            <w:tcMar>
              <w:top w:w="0" w:type="dxa"/>
              <w:left w:w="105" w:type="dxa"/>
              <w:bottom w:w="0" w:type="dxa"/>
              <w:right w:w="105" w:type="dxa"/>
            </w:tcMar>
            <w:vAlign w:val="center"/>
          </w:tcPr>
          <w:p w14:paraId="2FE5990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《声环境质量标准》</w:t>
            </w:r>
          </w:p>
          <w:p w14:paraId="466DC8A8">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（GB3096-2008）</w:t>
            </w:r>
          </w:p>
        </w:tc>
        <w:tc>
          <w:tcPr>
            <w:tcW w:w="4668" w:type="dxa"/>
            <w:tcMar>
              <w:top w:w="0" w:type="dxa"/>
              <w:left w:w="105" w:type="dxa"/>
              <w:bottom w:w="0" w:type="dxa"/>
              <w:right w:w="105" w:type="dxa"/>
            </w:tcMar>
            <w:vAlign w:val="center"/>
          </w:tcPr>
          <w:p w14:paraId="1F7B5CCA">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昼间噪声、夜间噪声</w:t>
            </w:r>
          </w:p>
        </w:tc>
      </w:tr>
      <w:tr w14:paraId="35495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5" w:hRule="atLeast"/>
          <w:jc w:val="center"/>
        </w:trPr>
        <w:tc>
          <w:tcPr>
            <w:tcW w:w="429" w:type="dxa"/>
            <w:vMerge w:val="continue"/>
            <w:vAlign w:val="center"/>
          </w:tcPr>
          <w:p w14:paraId="1D012A4A">
            <w:pPr>
              <w:jc w:val="center"/>
              <w:rPr>
                <w:rFonts w:ascii="Calibri" w:hAnsi="Calibri" w:eastAsia="宋体" w:cs="Times New Roman"/>
                <w:kern w:val="2"/>
                <w:sz w:val="21"/>
                <w:szCs w:val="24"/>
              </w:rPr>
            </w:pPr>
          </w:p>
        </w:tc>
        <w:tc>
          <w:tcPr>
            <w:tcW w:w="429" w:type="dxa"/>
            <w:vMerge w:val="continue"/>
            <w:vAlign w:val="center"/>
          </w:tcPr>
          <w:p w14:paraId="48110C75">
            <w:pPr>
              <w:jc w:val="center"/>
              <w:rPr>
                <w:rFonts w:ascii="Calibri" w:hAnsi="Calibri" w:eastAsia="宋体" w:cs="Times New Roman"/>
                <w:kern w:val="2"/>
                <w:sz w:val="21"/>
                <w:szCs w:val="24"/>
              </w:rPr>
            </w:pPr>
          </w:p>
        </w:tc>
        <w:tc>
          <w:tcPr>
            <w:tcW w:w="876" w:type="dxa"/>
            <w:tcMar>
              <w:top w:w="0" w:type="dxa"/>
              <w:left w:w="105" w:type="dxa"/>
              <w:bottom w:w="0" w:type="dxa"/>
              <w:right w:w="105" w:type="dxa"/>
            </w:tcMar>
            <w:vAlign w:val="center"/>
          </w:tcPr>
          <w:p w14:paraId="0C8B6642">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交通噪声</w:t>
            </w:r>
          </w:p>
        </w:tc>
        <w:tc>
          <w:tcPr>
            <w:tcW w:w="2436" w:type="dxa"/>
            <w:tcMar>
              <w:top w:w="0" w:type="dxa"/>
              <w:left w:w="105" w:type="dxa"/>
              <w:bottom w:w="0" w:type="dxa"/>
              <w:right w:w="105" w:type="dxa"/>
            </w:tcMar>
            <w:vAlign w:val="center"/>
          </w:tcPr>
          <w:p w14:paraId="7F465F9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铁路边界噪声限值及其测量方法GB12525-1990及修改单</w:t>
            </w:r>
          </w:p>
        </w:tc>
        <w:tc>
          <w:tcPr>
            <w:tcW w:w="4668" w:type="dxa"/>
            <w:tcMar>
              <w:top w:w="0" w:type="dxa"/>
              <w:left w:w="105" w:type="dxa"/>
              <w:bottom w:w="0" w:type="dxa"/>
              <w:right w:w="105" w:type="dxa"/>
            </w:tcMar>
            <w:vAlign w:val="center"/>
          </w:tcPr>
          <w:p w14:paraId="4A2C93F9">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昼间噪声、夜间噪声</w:t>
            </w:r>
          </w:p>
        </w:tc>
      </w:tr>
      <w:tr w14:paraId="3E431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29" w:type="dxa"/>
            <w:tcMar>
              <w:top w:w="0" w:type="dxa"/>
              <w:left w:w="105" w:type="dxa"/>
              <w:bottom w:w="0" w:type="dxa"/>
              <w:right w:w="105" w:type="dxa"/>
            </w:tcMar>
            <w:vAlign w:val="center"/>
          </w:tcPr>
          <w:p w14:paraId="722E9AB9">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4</w:t>
            </w:r>
          </w:p>
        </w:tc>
        <w:tc>
          <w:tcPr>
            <w:tcW w:w="1305" w:type="dxa"/>
            <w:gridSpan w:val="2"/>
            <w:tcMar>
              <w:top w:w="0" w:type="dxa"/>
              <w:left w:w="105" w:type="dxa"/>
              <w:bottom w:w="0" w:type="dxa"/>
              <w:right w:w="105" w:type="dxa"/>
            </w:tcMar>
            <w:vAlign w:val="center"/>
          </w:tcPr>
          <w:p w14:paraId="4E380DBE">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土壤</w:t>
            </w:r>
          </w:p>
        </w:tc>
        <w:tc>
          <w:tcPr>
            <w:tcW w:w="2436" w:type="dxa"/>
            <w:tcMar>
              <w:top w:w="0" w:type="dxa"/>
              <w:left w:w="105" w:type="dxa"/>
              <w:bottom w:w="0" w:type="dxa"/>
              <w:right w:w="105" w:type="dxa"/>
            </w:tcMar>
            <w:vAlign w:val="center"/>
          </w:tcPr>
          <w:p w14:paraId="5C050596">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土壤环境质量 农用地土壤污染风险管控标准（试行）GB 15618-2018</w:t>
            </w:r>
          </w:p>
        </w:tc>
        <w:tc>
          <w:tcPr>
            <w:tcW w:w="4668" w:type="dxa"/>
            <w:tcMar>
              <w:top w:w="0" w:type="dxa"/>
              <w:left w:w="105" w:type="dxa"/>
              <w:bottom w:w="0" w:type="dxa"/>
              <w:right w:w="105" w:type="dxa"/>
            </w:tcMar>
            <w:vAlign w:val="center"/>
          </w:tcPr>
          <w:p w14:paraId="69D51C8F">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pH值、铜、锌、铅、镉、镍、总铬、汞、砷、六六六总量、滴滴涕总量、苯并（a）芘</w:t>
            </w:r>
          </w:p>
        </w:tc>
      </w:tr>
      <w:tr w14:paraId="426F1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6" w:hRule="atLeast"/>
          <w:jc w:val="center"/>
        </w:trPr>
        <w:tc>
          <w:tcPr>
            <w:tcW w:w="429" w:type="dxa"/>
            <w:tcMar>
              <w:top w:w="0" w:type="dxa"/>
              <w:left w:w="105" w:type="dxa"/>
              <w:bottom w:w="0" w:type="dxa"/>
              <w:right w:w="105" w:type="dxa"/>
            </w:tcMar>
            <w:vAlign w:val="center"/>
          </w:tcPr>
          <w:p w14:paraId="32CDA149">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5</w:t>
            </w:r>
          </w:p>
        </w:tc>
        <w:tc>
          <w:tcPr>
            <w:tcW w:w="1305" w:type="dxa"/>
            <w:gridSpan w:val="2"/>
            <w:tcMar>
              <w:top w:w="0" w:type="dxa"/>
              <w:left w:w="105" w:type="dxa"/>
              <w:bottom w:w="0" w:type="dxa"/>
              <w:right w:w="105" w:type="dxa"/>
            </w:tcMar>
            <w:vAlign w:val="center"/>
          </w:tcPr>
          <w:p w14:paraId="4A22A7DF">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废水</w:t>
            </w:r>
          </w:p>
        </w:tc>
        <w:tc>
          <w:tcPr>
            <w:tcW w:w="2436" w:type="dxa"/>
            <w:vMerge w:val="restart"/>
            <w:tcMar>
              <w:top w:w="0" w:type="dxa"/>
              <w:left w:w="105" w:type="dxa"/>
              <w:bottom w:w="0" w:type="dxa"/>
              <w:right w:w="105" w:type="dxa"/>
            </w:tcMar>
            <w:vAlign w:val="center"/>
          </w:tcPr>
          <w:p w14:paraId="77129899">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环境执法与投诉对象</w:t>
            </w:r>
          </w:p>
        </w:tc>
        <w:tc>
          <w:tcPr>
            <w:tcW w:w="4668" w:type="dxa"/>
            <w:tcMar>
              <w:top w:w="0" w:type="dxa"/>
              <w:left w:w="105" w:type="dxa"/>
              <w:bottom w:w="0" w:type="dxa"/>
              <w:right w:w="105" w:type="dxa"/>
            </w:tcMar>
            <w:vAlign w:val="center"/>
          </w:tcPr>
          <w:p w14:paraId="292FD0CF">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流量、pH、化学需氧量、五日生化需氧量、色度、悬浮物、氨氮、总磷、总氮、挥发酚、硫化物、总氰化物、氟化物、石油类、动植物油、阴离子表面活性剂、粪大肠菌群、余氯、总汞、烷基汞、总镉、总铬、六价铬、总铅、总砷</w:t>
            </w:r>
          </w:p>
        </w:tc>
      </w:tr>
      <w:tr w14:paraId="23A9C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429" w:type="dxa"/>
            <w:tcMar>
              <w:top w:w="0" w:type="dxa"/>
              <w:left w:w="105" w:type="dxa"/>
              <w:bottom w:w="0" w:type="dxa"/>
              <w:right w:w="105" w:type="dxa"/>
            </w:tcMar>
            <w:vAlign w:val="center"/>
          </w:tcPr>
          <w:p w14:paraId="1FFBAF03">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6</w:t>
            </w:r>
          </w:p>
        </w:tc>
        <w:tc>
          <w:tcPr>
            <w:tcW w:w="1305" w:type="dxa"/>
            <w:gridSpan w:val="2"/>
            <w:tcMar>
              <w:top w:w="0" w:type="dxa"/>
              <w:left w:w="105" w:type="dxa"/>
              <w:bottom w:w="0" w:type="dxa"/>
              <w:right w:w="105" w:type="dxa"/>
            </w:tcMar>
            <w:vAlign w:val="center"/>
          </w:tcPr>
          <w:p w14:paraId="4F39018A">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废气</w:t>
            </w:r>
          </w:p>
        </w:tc>
        <w:tc>
          <w:tcPr>
            <w:tcW w:w="2436" w:type="dxa"/>
            <w:vMerge w:val="continue"/>
            <w:vAlign w:val="center"/>
          </w:tcPr>
          <w:p w14:paraId="5C6B7A62">
            <w:pPr>
              <w:jc w:val="center"/>
              <w:rPr>
                <w:rFonts w:ascii="Calibri" w:hAnsi="Calibri" w:eastAsia="宋体" w:cs="Times New Roman"/>
                <w:kern w:val="2"/>
                <w:sz w:val="21"/>
                <w:szCs w:val="24"/>
              </w:rPr>
            </w:pPr>
          </w:p>
        </w:tc>
        <w:tc>
          <w:tcPr>
            <w:tcW w:w="4668" w:type="dxa"/>
            <w:tcMar>
              <w:top w:w="0" w:type="dxa"/>
              <w:left w:w="105" w:type="dxa"/>
              <w:bottom w:w="0" w:type="dxa"/>
              <w:right w:w="105" w:type="dxa"/>
            </w:tcMar>
            <w:vAlign w:val="center"/>
          </w:tcPr>
          <w:p w14:paraId="7C6A48B4">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苯、甲苯、二甲苯、非甲烷总烃、颗粒物、氨、硫化氢、臭气浓度、硫酸雾、氯化氢、氮氧化物、二氧化硫、油烟、油雾</w:t>
            </w:r>
          </w:p>
        </w:tc>
      </w:tr>
      <w:tr w14:paraId="1A2EA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429" w:type="dxa"/>
            <w:tcMar>
              <w:top w:w="0" w:type="dxa"/>
              <w:left w:w="105" w:type="dxa"/>
              <w:bottom w:w="0" w:type="dxa"/>
              <w:right w:w="105" w:type="dxa"/>
            </w:tcMar>
            <w:vAlign w:val="center"/>
          </w:tcPr>
          <w:p w14:paraId="0A3B6781">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7</w:t>
            </w:r>
          </w:p>
        </w:tc>
        <w:tc>
          <w:tcPr>
            <w:tcW w:w="1305" w:type="dxa"/>
            <w:gridSpan w:val="2"/>
            <w:tcMar>
              <w:top w:w="0" w:type="dxa"/>
              <w:left w:w="105" w:type="dxa"/>
              <w:bottom w:w="0" w:type="dxa"/>
              <w:right w:w="105" w:type="dxa"/>
            </w:tcMar>
            <w:vAlign w:val="center"/>
          </w:tcPr>
          <w:p w14:paraId="334186FD">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噪声</w:t>
            </w:r>
          </w:p>
        </w:tc>
        <w:tc>
          <w:tcPr>
            <w:tcW w:w="2436" w:type="dxa"/>
            <w:vMerge w:val="continue"/>
            <w:vAlign w:val="center"/>
          </w:tcPr>
          <w:p w14:paraId="4E76CD00">
            <w:pPr>
              <w:jc w:val="center"/>
              <w:rPr>
                <w:rFonts w:ascii="Calibri" w:hAnsi="Calibri" w:eastAsia="宋体" w:cs="Times New Roman"/>
                <w:kern w:val="2"/>
                <w:sz w:val="21"/>
                <w:szCs w:val="24"/>
              </w:rPr>
            </w:pPr>
          </w:p>
        </w:tc>
        <w:tc>
          <w:tcPr>
            <w:tcW w:w="4668" w:type="dxa"/>
            <w:tcMar>
              <w:top w:w="0" w:type="dxa"/>
              <w:left w:w="105" w:type="dxa"/>
              <w:bottom w:w="0" w:type="dxa"/>
              <w:right w:w="105" w:type="dxa"/>
            </w:tcMar>
            <w:vAlign w:val="center"/>
          </w:tcPr>
          <w:p w14:paraId="35329ADA">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厂界噪声、建筑施工噪声</w:t>
            </w:r>
          </w:p>
        </w:tc>
      </w:tr>
      <w:tr w14:paraId="654D0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2" w:hRule="atLeast"/>
          <w:jc w:val="center"/>
        </w:trPr>
        <w:tc>
          <w:tcPr>
            <w:tcW w:w="429" w:type="dxa"/>
            <w:tcMar>
              <w:top w:w="0" w:type="dxa"/>
              <w:left w:w="105" w:type="dxa"/>
              <w:bottom w:w="0" w:type="dxa"/>
              <w:right w:w="105" w:type="dxa"/>
            </w:tcMar>
            <w:vAlign w:val="center"/>
          </w:tcPr>
          <w:p w14:paraId="66D49462">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8</w:t>
            </w:r>
          </w:p>
        </w:tc>
        <w:tc>
          <w:tcPr>
            <w:tcW w:w="1305" w:type="dxa"/>
            <w:gridSpan w:val="2"/>
            <w:tcMar>
              <w:top w:w="0" w:type="dxa"/>
              <w:left w:w="105" w:type="dxa"/>
              <w:bottom w:w="0" w:type="dxa"/>
              <w:right w:w="105" w:type="dxa"/>
            </w:tcMar>
            <w:vAlign w:val="center"/>
          </w:tcPr>
          <w:p w14:paraId="05915028">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土壤</w:t>
            </w:r>
          </w:p>
        </w:tc>
        <w:tc>
          <w:tcPr>
            <w:tcW w:w="2436" w:type="dxa"/>
            <w:vMerge w:val="continue"/>
            <w:vAlign w:val="center"/>
          </w:tcPr>
          <w:p w14:paraId="342ABA5D">
            <w:pPr>
              <w:jc w:val="center"/>
              <w:rPr>
                <w:rFonts w:ascii="Calibri" w:hAnsi="Calibri" w:eastAsia="宋体" w:cs="Times New Roman"/>
                <w:kern w:val="2"/>
                <w:sz w:val="21"/>
                <w:szCs w:val="24"/>
              </w:rPr>
            </w:pPr>
          </w:p>
        </w:tc>
        <w:tc>
          <w:tcPr>
            <w:tcW w:w="4668" w:type="dxa"/>
            <w:tcMar>
              <w:top w:w="0" w:type="dxa"/>
              <w:left w:w="105" w:type="dxa"/>
              <w:bottom w:w="0" w:type="dxa"/>
              <w:right w:w="105" w:type="dxa"/>
            </w:tcMar>
            <w:vAlign w:val="center"/>
          </w:tcPr>
          <w:p w14:paraId="1DCBE61C">
            <w:pPr>
              <w:spacing w:after="120"/>
              <w:ind w:firstLine="400"/>
              <w:jc w:val="both"/>
              <w:rPr>
                <w:rFonts w:hint="eastAsia" w:ascii="Calibri" w:hAnsi="Calibri" w:eastAsia="宋体" w:cs="Times New Roman"/>
                <w:lang w:val="en-US" w:eastAsia="zh-Hans"/>
              </w:rPr>
            </w:pPr>
            <w:r>
              <w:rPr>
                <w:rFonts w:hint="eastAsia" w:ascii="宋体" w:hAnsi="宋体" w:eastAsia="宋体" w:cs="宋体"/>
                <w:sz w:val="20"/>
                <w:lang w:val="en-US" w:eastAsia="zh-Hans"/>
              </w:rPr>
              <w:t>①理化性质：pH值、含水率；</w:t>
            </w:r>
          </w:p>
          <w:p w14:paraId="2EA9F187">
            <w:pPr>
              <w:spacing w:after="120"/>
              <w:ind w:firstLine="400"/>
              <w:jc w:val="both"/>
              <w:rPr>
                <w:rFonts w:hint="eastAsia" w:ascii="Calibri" w:hAnsi="Calibri" w:eastAsia="宋体" w:cs="Times New Roman"/>
                <w:lang w:val="en-US" w:eastAsia="zh-Hans"/>
              </w:rPr>
            </w:pPr>
            <w:r>
              <w:rPr>
                <w:rFonts w:hint="eastAsia" w:ascii="宋体" w:hAnsi="宋体" w:eastAsia="宋体" w:cs="宋体"/>
                <w:sz w:val="20"/>
                <w:lang w:val="en-US" w:eastAsia="zh-Hans"/>
              </w:rPr>
              <w:t>②7种重金属：砷、镉、六价铬、铜、铅、汞、镍；</w:t>
            </w:r>
          </w:p>
          <w:p w14:paraId="1F23FB5B">
            <w:pPr>
              <w:spacing w:after="120"/>
              <w:ind w:firstLine="400"/>
              <w:jc w:val="both"/>
              <w:rPr>
                <w:rFonts w:hint="eastAsia" w:ascii="Calibri" w:hAnsi="Calibri" w:eastAsia="宋体" w:cs="Times New Roman"/>
                <w:lang w:val="en-US" w:eastAsia="zh-Hans"/>
              </w:rPr>
            </w:pPr>
            <w:r>
              <w:rPr>
                <w:rFonts w:hint="eastAsia" w:ascii="宋体" w:hAnsi="宋体" w:eastAsia="宋体" w:cs="宋体"/>
                <w:sz w:val="20"/>
                <w:lang w:val="en-US" w:eastAsia="zh-Hans"/>
              </w:rPr>
              <w:t>③27种挥发性有机物：四氯化碳、氯仿、氯甲烷、1,1-二氯乙烷、1,2-二氯乙烷、 1,1-二氯乙烯、顺-1,2-二氯乙烯、反-1,2-二氯乙烯、二氯甲烷、1,2-二氯丙烷、1,1,1,2-四氯乙烷、1,1,2,2-四氯乙烷、四氯乙烯、1,1,1-三氯乙烷、1,1,2-三氯乙烷、三氯乙烯、1,2,3-三氯丙烷、氯乙烯、苯、氯苯、1,2-二氯苯、1,4-二氯苯、乙苯、苯乙烯、甲苯、间二甲苯+对二甲苯、邻二甲苯；</w:t>
            </w:r>
          </w:p>
          <w:p w14:paraId="4E486B62">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④11种半挥发性有机物：硝基苯、苯胺、2-氯酚、苯并（a）蒽、苯并（a）芘、苯并 （b）荧蒽、苯并（k）荧蒽、䓛、二苯并（a,h）蒽、茚并（1,2,3- cd）芘、萘</w:t>
            </w:r>
          </w:p>
        </w:tc>
      </w:tr>
    </w:tbl>
    <w:p w14:paraId="46B06EB2">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（2）污染源监督性监测</w:t>
      </w:r>
    </w:p>
    <w:tbl>
      <w:tblPr>
        <w:tblStyle w:val="6"/>
        <w:tblW w:w="8878" w:type="dxa"/>
        <w:tblInd w:w="4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
        <w:gridCol w:w="630"/>
        <w:gridCol w:w="690"/>
        <w:gridCol w:w="2445"/>
        <w:gridCol w:w="4702"/>
      </w:tblGrid>
      <w:tr w14:paraId="2736D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411" w:type="dxa"/>
            <w:tcMar>
              <w:top w:w="0" w:type="dxa"/>
              <w:left w:w="105" w:type="dxa"/>
              <w:bottom w:w="0" w:type="dxa"/>
              <w:right w:w="105" w:type="dxa"/>
            </w:tcMar>
            <w:vAlign w:val="center"/>
          </w:tcPr>
          <w:p w14:paraId="726636CF">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序号</w:t>
            </w:r>
          </w:p>
        </w:tc>
        <w:tc>
          <w:tcPr>
            <w:tcW w:w="1320" w:type="dxa"/>
            <w:gridSpan w:val="2"/>
            <w:tcMar>
              <w:top w:w="0" w:type="dxa"/>
              <w:left w:w="105" w:type="dxa"/>
              <w:bottom w:w="0" w:type="dxa"/>
              <w:right w:w="105" w:type="dxa"/>
            </w:tcMar>
            <w:vAlign w:val="center"/>
          </w:tcPr>
          <w:p w14:paraId="68100488">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类别</w:t>
            </w:r>
          </w:p>
        </w:tc>
        <w:tc>
          <w:tcPr>
            <w:tcW w:w="2445" w:type="dxa"/>
            <w:tcMar>
              <w:top w:w="0" w:type="dxa"/>
              <w:left w:w="105" w:type="dxa"/>
              <w:bottom w:w="0" w:type="dxa"/>
              <w:right w:w="105" w:type="dxa"/>
            </w:tcMar>
            <w:vAlign w:val="center"/>
          </w:tcPr>
          <w:p w14:paraId="725DA0C1">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监测对象</w:t>
            </w:r>
          </w:p>
        </w:tc>
        <w:tc>
          <w:tcPr>
            <w:tcW w:w="4702" w:type="dxa"/>
            <w:tcMar>
              <w:top w:w="0" w:type="dxa"/>
              <w:left w:w="105" w:type="dxa"/>
              <w:bottom w:w="0" w:type="dxa"/>
              <w:right w:w="105" w:type="dxa"/>
            </w:tcMar>
            <w:vAlign w:val="center"/>
          </w:tcPr>
          <w:p w14:paraId="4143EE80">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检测项目</w:t>
            </w:r>
          </w:p>
        </w:tc>
      </w:tr>
      <w:tr w14:paraId="39D8B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2" w:hRule="atLeast"/>
        </w:trPr>
        <w:tc>
          <w:tcPr>
            <w:tcW w:w="411" w:type="dxa"/>
            <w:tcMar>
              <w:top w:w="0" w:type="dxa"/>
              <w:left w:w="105" w:type="dxa"/>
              <w:bottom w:w="0" w:type="dxa"/>
              <w:right w:w="105" w:type="dxa"/>
            </w:tcMar>
            <w:vAlign w:val="center"/>
          </w:tcPr>
          <w:p w14:paraId="38937B0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1</w:t>
            </w:r>
          </w:p>
        </w:tc>
        <w:tc>
          <w:tcPr>
            <w:tcW w:w="1320" w:type="dxa"/>
            <w:gridSpan w:val="2"/>
            <w:tcMar>
              <w:top w:w="0" w:type="dxa"/>
              <w:left w:w="105" w:type="dxa"/>
              <w:bottom w:w="0" w:type="dxa"/>
              <w:right w:w="105" w:type="dxa"/>
            </w:tcMar>
            <w:vAlign w:val="center"/>
          </w:tcPr>
          <w:p w14:paraId="0F589467">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废</w:t>
            </w:r>
            <w:bookmarkStart w:id="7" w:name="_GoBack"/>
            <w:bookmarkEnd w:id="7"/>
            <w:r>
              <w:rPr>
                <w:rFonts w:hint="eastAsia" w:ascii="宋体" w:hAnsi="宋体" w:eastAsia="宋体" w:cs="宋体"/>
                <w:sz w:val="20"/>
                <w:lang w:val="en-US" w:eastAsia="zh-Hans"/>
              </w:rPr>
              <w:t>水</w:t>
            </w:r>
          </w:p>
        </w:tc>
        <w:tc>
          <w:tcPr>
            <w:tcW w:w="2445" w:type="dxa"/>
            <w:vMerge w:val="restart"/>
            <w:tcMar>
              <w:top w:w="0" w:type="dxa"/>
              <w:left w:w="105" w:type="dxa"/>
              <w:bottom w:w="0" w:type="dxa"/>
              <w:right w:w="105" w:type="dxa"/>
            </w:tcMar>
            <w:vAlign w:val="center"/>
          </w:tcPr>
          <w:p w14:paraId="0BA37FE3">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辖区内排污单位</w:t>
            </w:r>
          </w:p>
        </w:tc>
        <w:tc>
          <w:tcPr>
            <w:tcW w:w="4702" w:type="dxa"/>
            <w:tcMar>
              <w:top w:w="0" w:type="dxa"/>
              <w:left w:w="105" w:type="dxa"/>
              <w:bottom w:w="0" w:type="dxa"/>
              <w:right w:w="105" w:type="dxa"/>
            </w:tcMar>
            <w:vAlign w:val="center"/>
          </w:tcPr>
          <w:p w14:paraId="5CEECD44">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流量、pH值、化学需氧量、五日生化需氧量、色度、悬浮物、氨氮、总磷、总氮、挥发酚、硫化物、总氰化物、氟化物、石油类、动植物油类、阴离子表面活性剂、粪大肠菌群、余氯、总汞、烷基汞、总镉、总铬、六价铬、总铅、总砷</w:t>
            </w:r>
          </w:p>
        </w:tc>
      </w:tr>
      <w:tr w14:paraId="36A9F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411" w:type="dxa"/>
            <w:vMerge w:val="restart"/>
            <w:tcMar>
              <w:top w:w="0" w:type="dxa"/>
              <w:left w:w="105" w:type="dxa"/>
              <w:bottom w:w="0" w:type="dxa"/>
              <w:right w:w="105" w:type="dxa"/>
            </w:tcMar>
            <w:vAlign w:val="center"/>
          </w:tcPr>
          <w:p w14:paraId="3556959B">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2</w:t>
            </w:r>
          </w:p>
        </w:tc>
        <w:tc>
          <w:tcPr>
            <w:tcW w:w="630" w:type="dxa"/>
            <w:vMerge w:val="restart"/>
            <w:tcMar>
              <w:top w:w="0" w:type="dxa"/>
              <w:left w:w="105" w:type="dxa"/>
              <w:bottom w:w="0" w:type="dxa"/>
              <w:right w:w="105" w:type="dxa"/>
            </w:tcMar>
            <w:vAlign w:val="center"/>
          </w:tcPr>
          <w:p w14:paraId="61BB71C0">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废气</w:t>
            </w:r>
          </w:p>
        </w:tc>
        <w:tc>
          <w:tcPr>
            <w:tcW w:w="690" w:type="dxa"/>
            <w:tcMar>
              <w:top w:w="0" w:type="dxa"/>
              <w:left w:w="105" w:type="dxa"/>
              <w:bottom w:w="0" w:type="dxa"/>
              <w:right w:w="105" w:type="dxa"/>
            </w:tcMar>
            <w:vAlign w:val="center"/>
          </w:tcPr>
          <w:p w14:paraId="27D3894A">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锅炉废气</w:t>
            </w:r>
          </w:p>
        </w:tc>
        <w:tc>
          <w:tcPr>
            <w:tcW w:w="2445" w:type="dxa"/>
            <w:vMerge w:val="continue"/>
            <w:vAlign w:val="center"/>
          </w:tcPr>
          <w:p w14:paraId="38D21313">
            <w:pPr>
              <w:jc w:val="center"/>
              <w:rPr>
                <w:rFonts w:ascii="Calibri" w:hAnsi="Calibri" w:eastAsia="宋体" w:cs="Times New Roman"/>
                <w:kern w:val="2"/>
                <w:sz w:val="21"/>
                <w:szCs w:val="24"/>
              </w:rPr>
            </w:pPr>
          </w:p>
        </w:tc>
        <w:tc>
          <w:tcPr>
            <w:tcW w:w="4702" w:type="dxa"/>
            <w:tcMar>
              <w:top w:w="0" w:type="dxa"/>
              <w:left w:w="105" w:type="dxa"/>
              <w:bottom w:w="0" w:type="dxa"/>
              <w:right w:w="105" w:type="dxa"/>
            </w:tcMar>
            <w:vAlign w:val="center"/>
          </w:tcPr>
          <w:p w14:paraId="69DE6B4C">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氮氧化物、二氧化硫、颗粒物、汞及其化合物、烟气黑度</w:t>
            </w:r>
          </w:p>
        </w:tc>
      </w:tr>
      <w:tr w14:paraId="139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9" w:hRule="atLeast"/>
        </w:trPr>
        <w:tc>
          <w:tcPr>
            <w:tcW w:w="411" w:type="dxa"/>
            <w:vMerge w:val="continue"/>
            <w:vAlign w:val="center"/>
          </w:tcPr>
          <w:p w14:paraId="6A2712F0">
            <w:pPr>
              <w:jc w:val="center"/>
              <w:rPr>
                <w:rFonts w:ascii="Calibri" w:hAnsi="Calibri" w:eastAsia="宋体" w:cs="Times New Roman"/>
                <w:kern w:val="2"/>
                <w:sz w:val="21"/>
                <w:szCs w:val="24"/>
              </w:rPr>
            </w:pPr>
          </w:p>
        </w:tc>
        <w:tc>
          <w:tcPr>
            <w:tcW w:w="630" w:type="dxa"/>
            <w:vMerge w:val="continue"/>
            <w:vAlign w:val="center"/>
          </w:tcPr>
          <w:p w14:paraId="412D7BA4">
            <w:pPr>
              <w:jc w:val="center"/>
              <w:rPr>
                <w:rFonts w:ascii="Calibri" w:hAnsi="Calibri" w:eastAsia="宋体" w:cs="Times New Roman"/>
                <w:kern w:val="2"/>
                <w:sz w:val="21"/>
                <w:szCs w:val="24"/>
              </w:rPr>
            </w:pPr>
          </w:p>
        </w:tc>
        <w:tc>
          <w:tcPr>
            <w:tcW w:w="690" w:type="dxa"/>
            <w:tcMar>
              <w:top w:w="0" w:type="dxa"/>
              <w:left w:w="105" w:type="dxa"/>
              <w:bottom w:w="0" w:type="dxa"/>
              <w:right w:w="105" w:type="dxa"/>
            </w:tcMar>
            <w:vAlign w:val="center"/>
          </w:tcPr>
          <w:p w14:paraId="1E23BB9C">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其他废气</w:t>
            </w:r>
          </w:p>
        </w:tc>
        <w:tc>
          <w:tcPr>
            <w:tcW w:w="2445" w:type="dxa"/>
            <w:vMerge w:val="continue"/>
            <w:vAlign w:val="center"/>
          </w:tcPr>
          <w:p w14:paraId="27BB1ED3">
            <w:pPr>
              <w:jc w:val="center"/>
              <w:rPr>
                <w:rFonts w:ascii="Calibri" w:hAnsi="Calibri" w:eastAsia="宋体" w:cs="Times New Roman"/>
                <w:kern w:val="2"/>
                <w:sz w:val="21"/>
                <w:szCs w:val="24"/>
              </w:rPr>
            </w:pPr>
          </w:p>
        </w:tc>
        <w:tc>
          <w:tcPr>
            <w:tcW w:w="4702" w:type="dxa"/>
            <w:tcMar>
              <w:top w:w="0" w:type="dxa"/>
              <w:left w:w="105" w:type="dxa"/>
              <w:bottom w:w="0" w:type="dxa"/>
              <w:right w:w="105" w:type="dxa"/>
            </w:tcMar>
            <w:vAlign w:val="center"/>
          </w:tcPr>
          <w:p w14:paraId="4EEB7F8E">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苯、甲苯、二甲苯、非甲烷总烃、颗粒物、氨、硫化氢、臭气浓度、硫酸雾、氯化氢、油烟、油雾</w:t>
            </w:r>
          </w:p>
        </w:tc>
      </w:tr>
      <w:tr w14:paraId="03D36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trPr>
        <w:tc>
          <w:tcPr>
            <w:tcW w:w="411" w:type="dxa"/>
            <w:tcMar>
              <w:top w:w="0" w:type="dxa"/>
              <w:left w:w="105" w:type="dxa"/>
              <w:bottom w:w="0" w:type="dxa"/>
              <w:right w:w="105" w:type="dxa"/>
            </w:tcMar>
            <w:vAlign w:val="center"/>
          </w:tcPr>
          <w:p w14:paraId="7191A701">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3</w:t>
            </w:r>
          </w:p>
        </w:tc>
        <w:tc>
          <w:tcPr>
            <w:tcW w:w="1320" w:type="dxa"/>
            <w:gridSpan w:val="2"/>
            <w:tcMar>
              <w:top w:w="0" w:type="dxa"/>
              <w:left w:w="105" w:type="dxa"/>
              <w:bottom w:w="0" w:type="dxa"/>
              <w:right w:w="105" w:type="dxa"/>
            </w:tcMar>
            <w:vAlign w:val="center"/>
          </w:tcPr>
          <w:p w14:paraId="12EDA58D">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噪声</w:t>
            </w:r>
          </w:p>
        </w:tc>
        <w:tc>
          <w:tcPr>
            <w:tcW w:w="2445" w:type="dxa"/>
            <w:vMerge w:val="continue"/>
            <w:vAlign w:val="center"/>
          </w:tcPr>
          <w:p w14:paraId="09CB9044">
            <w:pPr>
              <w:jc w:val="center"/>
              <w:rPr>
                <w:rFonts w:ascii="Calibri" w:hAnsi="Calibri" w:eastAsia="宋体" w:cs="Times New Roman"/>
                <w:kern w:val="2"/>
                <w:sz w:val="21"/>
                <w:szCs w:val="24"/>
              </w:rPr>
            </w:pPr>
          </w:p>
        </w:tc>
        <w:tc>
          <w:tcPr>
            <w:tcW w:w="4702" w:type="dxa"/>
            <w:tcMar>
              <w:top w:w="0" w:type="dxa"/>
              <w:left w:w="105" w:type="dxa"/>
              <w:bottom w:w="0" w:type="dxa"/>
              <w:right w:w="105" w:type="dxa"/>
            </w:tcMar>
            <w:vAlign w:val="center"/>
          </w:tcPr>
          <w:p w14:paraId="5B07E4E8">
            <w:pPr>
              <w:jc w:val="both"/>
              <w:rPr>
                <w:rFonts w:hint="eastAsia" w:ascii="Calibri" w:hAnsi="Calibri" w:eastAsia="宋体" w:cs="Times New Roman"/>
                <w:lang w:val="en-US" w:eastAsia="zh-Hans"/>
              </w:rPr>
            </w:pPr>
            <w:r>
              <w:rPr>
                <w:rFonts w:hint="eastAsia" w:ascii="宋体" w:hAnsi="宋体" w:eastAsia="宋体" w:cs="宋体"/>
                <w:sz w:val="20"/>
                <w:lang w:val="en-US" w:eastAsia="zh-Hans"/>
              </w:rPr>
              <w:t>厂界噪声（《工业企业厂界环境噪声排放标准》GB12348-2008）、建筑施工噪声(《建筑施工场界环境噪声排放标准》GB12523-2011)、社会生活噪声(《社会生活环境噪声排放标准》GB22337-2008)</w:t>
            </w:r>
          </w:p>
        </w:tc>
      </w:tr>
      <w:tr w14:paraId="79DD9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4" w:hRule="atLeast"/>
        </w:trPr>
        <w:tc>
          <w:tcPr>
            <w:tcW w:w="411" w:type="dxa"/>
            <w:tcMar>
              <w:top w:w="0" w:type="dxa"/>
              <w:left w:w="105" w:type="dxa"/>
              <w:bottom w:w="0" w:type="dxa"/>
              <w:right w:w="105" w:type="dxa"/>
            </w:tcMar>
            <w:vAlign w:val="center"/>
          </w:tcPr>
          <w:p w14:paraId="6B4FA663">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4</w:t>
            </w:r>
          </w:p>
        </w:tc>
        <w:tc>
          <w:tcPr>
            <w:tcW w:w="1320" w:type="dxa"/>
            <w:gridSpan w:val="2"/>
            <w:tcMar>
              <w:top w:w="0" w:type="dxa"/>
              <w:left w:w="105" w:type="dxa"/>
              <w:bottom w:w="0" w:type="dxa"/>
              <w:right w:w="105" w:type="dxa"/>
            </w:tcMar>
            <w:vAlign w:val="center"/>
          </w:tcPr>
          <w:p w14:paraId="04C0ECE0">
            <w:pPr>
              <w:jc w:val="center"/>
              <w:rPr>
                <w:rFonts w:hint="eastAsia" w:ascii="Calibri" w:hAnsi="Calibri" w:eastAsia="宋体" w:cs="Times New Roman"/>
                <w:lang w:val="en-US" w:eastAsia="zh-Hans"/>
              </w:rPr>
            </w:pPr>
            <w:r>
              <w:rPr>
                <w:rFonts w:hint="eastAsia" w:ascii="宋体" w:hAnsi="宋体" w:eastAsia="宋体" w:cs="宋体"/>
                <w:sz w:val="20"/>
                <w:lang w:val="en-US" w:eastAsia="zh-Hans"/>
              </w:rPr>
              <w:t>土壤</w:t>
            </w:r>
          </w:p>
        </w:tc>
        <w:tc>
          <w:tcPr>
            <w:tcW w:w="2445" w:type="dxa"/>
            <w:vMerge w:val="continue"/>
            <w:vAlign w:val="center"/>
          </w:tcPr>
          <w:p w14:paraId="145862C6">
            <w:pPr>
              <w:jc w:val="center"/>
              <w:rPr>
                <w:rFonts w:ascii="Calibri" w:hAnsi="Calibri" w:eastAsia="宋体" w:cs="Times New Roman"/>
                <w:kern w:val="2"/>
                <w:sz w:val="21"/>
                <w:szCs w:val="24"/>
              </w:rPr>
            </w:pPr>
          </w:p>
        </w:tc>
        <w:tc>
          <w:tcPr>
            <w:tcW w:w="4702" w:type="dxa"/>
            <w:tcMar>
              <w:top w:w="0" w:type="dxa"/>
              <w:left w:w="105" w:type="dxa"/>
              <w:bottom w:w="0" w:type="dxa"/>
              <w:right w:w="105" w:type="dxa"/>
            </w:tcMar>
            <w:vAlign w:val="center"/>
          </w:tcPr>
          <w:p w14:paraId="6814EFF5">
            <w:pPr>
              <w:numPr>
                <w:ilvl w:val="0"/>
                <w:numId w:val="3"/>
              </w:numPr>
              <w:ind w:left="420"/>
              <w:jc w:val="both"/>
              <w:rPr>
                <w:rFonts w:hint="eastAsia" w:ascii="Calibri" w:hAnsi="Calibri" w:eastAsia="宋体" w:cs="Times New Roman"/>
                <w:lang w:val="en-US" w:eastAsia="zh-Hans"/>
              </w:rPr>
            </w:pPr>
            <w:r>
              <w:rPr>
                <w:rFonts w:hint="eastAsia" w:ascii="宋体" w:hAnsi="宋体" w:eastAsia="宋体" w:cs="宋体"/>
                <w:sz w:val="20"/>
                <w:lang w:val="en-US" w:eastAsia="zh-Hans"/>
              </w:rPr>
              <w:t>理化性质：pH值、含水率；</w:t>
            </w:r>
          </w:p>
          <w:p w14:paraId="582990C3">
            <w:pPr>
              <w:numPr>
                <w:ilvl w:val="0"/>
                <w:numId w:val="3"/>
              </w:numPr>
              <w:ind w:left="420"/>
              <w:jc w:val="both"/>
              <w:rPr>
                <w:rFonts w:hint="eastAsia" w:ascii="Calibri" w:hAnsi="Calibri" w:eastAsia="宋体" w:cs="Times New Roman"/>
                <w:lang w:val="en-US" w:eastAsia="zh-Hans"/>
              </w:rPr>
            </w:pPr>
            <w:r>
              <w:rPr>
                <w:rFonts w:hint="eastAsia" w:ascii="宋体" w:hAnsi="宋体" w:eastAsia="宋体" w:cs="宋体"/>
                <w:sz w:val="20"/>
                <w:lang w:val="en-US" w:eastAsia="zh-Hans"/>
              </w:rPr>
              <w:t>7种重金属：砷、镉、六价铬、铜、铅、汞、镍；</w:t>
            </w:r>
          </w:p>
          <w:p w14:paraId="5AA635B3">
            <w:pPr>
              <w:numPr>
                <w:ilvl w:val="0"/>
                <w:numId w:val="3"/>
              </w:numPr>
              <w:ind w:left="420"/>
              <w:jc w:val="both"/>
              <w:rPr>
                <w:rFonts w:hint="eastAsia" w:ascii="Calibri" w:hAnsi="Calibri" w:eastAsia="宋体" w:cs="Times New Roman"/>
                <w:lang w:val="en-US" w:eastAsia="zh-Hans"/>
              </w:rPr>
            </w:pPr>
            <w:r>
              <w:rPr>
                <w:rFonts w:hint="eastAsia" w:ascii="宋体" w:hAnsi="宋体" w:eastAsia="宋体" w:cs="宋体"/>
                <w:sz w:val="20"/>
                <w:lang w:val="en-US" w:eastAsia="zh-Hans"/>
              </w:rPr>
              <w:t>27种挥发性有机物：四氯化碳、氯仿、氯甲烷、1,1-二氯乙烷、1,2-二氯乙烷、 1,1-二氯乙烯、顺-1,2-二氯乙烯、反-1,2-二氯乙烯、二氯甲烷、1,2-二氯丙烷、1,1,1,2-四氯乙烷、1,1,2,2-四氯乙烷、四氯乙烯、1,1,1-三氯乙烷、1,1,2-三氯乙烷、三氯乙烯、1,2,3-三氯丙烷、氯乙烯、苯、氯苯、1,2-二氯苯、1,4-二氯苯、乙苯、苯乙烯、甲苯、间二甲苯+对二甲苯、邻二甲苯 ；</w:t>
            </w:r>
          </w:p>
          <w:p w14:paraId="643EC730">
            <w:pPr>
              <w:numPr>
                <w:ilvl w:val="0"/>
                <w:numId w:val="3"/>
              </w:numPr>
              <w:ind w:left="420"/>
              <w:jc w:val="both"/>
              <w:rPr>
                <w:rFonts w:hint="eastAsia" w:ascii="Calibri" w:hAnsi="Calibri" w:eastAsia="宋体" w:cs="Times New Roman"/>
                <w:lang w:val="en-US" w:eastAsia="zh-Hans"/>
              </w:rPr>
            </w:pPr>
            <w:r>
              <w:rPr>
                <w:rFonts w:hint="eastAsia" w:ascii="宋体" w:hAnsi="宋体" w:eastAsia="宋体" w:cs="宋体"/>
                <w:sz w:val="20"/>
                <w:lang w:val="en-US" w:eastAsia="zh-Hans"/>
              </w:rPr>
              <w:t>11种半挥发性有机物：硝基苯、苯胺、2-氯酚、苯并（a）蒽、苯并（a）芘、苯并 （b）荧蒽、苯并（k）荧蒽、䓛、二苯并（a,h）蒽、茚并（1,2,3- cd）芘、萘</w:t>
            </w:r>
          </w:p>
        </w:tc>
      </w:tr>
    </w:tbl>
    <w:p w14:paraId="46D2A6C5">
      <w:pPr>
        <w:spacing w:before="120" w:after="120"/>
        <w:jc w:val="left"/>
        <w:rPr>
          <w:rFonts w:hint="eastAsia" w:ascii="宋体" w:hAnsi="宋体" w:eastAsia="宋体" w:cs="宋体"/>
          <w:b/>
          <w:color w:val="000000"/>
          <w:sz w:val="20"/>
          <w:lang w:val="en-US" w:eastAsia="zh-Hans"/>
        </w:rPr>
      </w:pPr>
      <w:r>
        <w:rPr>
          <w:rFonts w:hint="eastAsia" w:ascii="宋体" w:hAnsi="宋体" w:eastAsia="宋体" w:cs="宋体"/>
          <w:b/>
          <w:color w:val="000000"/>
          <w:sz w:val="20"/>
          <w:lang w:val="en-US" w:eastAsia="zh-Hans"/>
        </w:rPr>
        <w:t xml:space="preserve"> （备注：未涉及的监测品种，检测项目可根据采购人实际情况予以增补）</w:t>
      </w:r>
    </w:p>
    <w:p w14:paraId="545518BA">
      <w:pPr>
        <w:spacing w:before="120" w:after="120"/>
        <w:jc w:val="left"/>
        <w:rPr>
          <w:rFonts w:hint="eastAsia" w:ascii="宋体" w:hAnsi="宋体" w:eastAsia="宋体" w:cs="宋体"/>
          <w:b/>
          <w:color w:val="000000"/>
          <w:sz w:val="20"/>
          <w:lang w:val="en-US" w:eastAsia="zh-Hans"/>
        </w:rPr>
      </w:pPr>
    </w:p>
    <w:p w14:paraId="61607692">
      <w:pPr>
        <w:spacing w:line="360" w:lineRule="auto"/>
        <w:rPr>
          <w:rFonts w:hint="eastAsia" w:ascii="宋体" w:hAnsi="宋体" w:eastAsia="宋体" w:cs="宋体"/>
          <w:b/>
          <w:bCs/>
          <w:kern w:val="2"/>
          <w:szCs w:val="24"/>
          <w:highlight w:val="yellow"/>
          <w:lang w:val="en-US" w:eastAsia="zh-Hans" w:bidi="zh-TW"/>
        </w:rPr>
      </w:pPr>
    </w:p>
    <w:p w14:paraId="6A4FC957">
      <w:pPr>
        <w:rPr>
          <w:rFonts w:hint="eastAsia" w:eastAsia="宋体"/>
          <w:lang w:eastAsia="zh-CN"/>
        </w:rPr>
      </w:pPr>
      <w:r>
        <w:rPr>
          <w:rFonts w:hint="eastAsia" w:eastAsia="宋体"/>
          <w:lang w:eastAsia="zh-CN"/>
        </w:rPr>
        <w:drawing>
          <wp:inline distT="0" distB="0" distL="114300" distR="114300">
            <wp:extent cx="6082665" cy="8383905"/>
            <wp:effectExtent l="0" t="0" r="13335" b="17145"/>
            <wp:docPr id="15" name="图片 15" descr="陕西省环境监测收费标准陕环字(2009)75号(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陕西省环境监测收费标准陕环字(2009)75号(1)_00"/>
                    <pic:cNvPicPr>
                      <a:picLocks noChangeAspect="1"/>
                    </pic:cNvPicPr>
                  </pic:nvPicPr>
                  <pic:blipFill>
                    <a:blip r:embed="rId5"/>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76950" cy="8063865"/>
            <wp:effectExtent l="0" t="0" r="0" b="13335"/>
            <wp:docPr id="14" name="图片 14" descr="陕西省环境监测收费标准陕环字(2009)75号(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陕西省环境监测收费标准陕环字(2009)75号(1)_01"/>
                    <pic:cNvPicPr>
                      <a:picLocks noChangeAspect="1"/>
                    </pic:cNvPicPr>
                  </pic:nvPicPr>
                  <pic:blipFill>
                    <a:blip r:embed="rId6"/>
                    <a:stretch>
                      <a:fillRect/>
                    </a:stretch>
                  </pic:blipFill>
                  <pic:spPr>
                    <a:xfrm>
                      <a:off x="0" y="0"/>
                      <a:ext cx="6076950" cy="8063865"/>
                    </a:xfrm>
                    <a:prstGeom prst="rect">
                      <a:avLst/>
                    </a:prstGeom>
                  </pic:spPr>
                </pic:pic>
              </a:graphicData>
            </a:graphic>
          </wp:inline>
        </w:drawing>
      </w:r>
      <w:r>
        <w:rPr>
          <w:rFonts w:hint="eastAsia" w:eastAsia="宋体"/>
          <w:lang w:eastAsia="zh-CN"/>
        </w:rPr>
        <w:drawing>
          <wp:inline distT="0" distB="0" distL="114300" distR="114300">
            <wp:extent cx="6080125" cy="8562340"/>
            <wp:effectExtent l="0" t="0" r="15875" b="10160"/>
            <wp:docPr id="13" name="图片 13" descr="陕西省环境监测收费标准陕环字(2009)75号(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陕西省环境监测收费标准陕环字(2009)75号(1)_02"/>
                    <pic:cNvPicPr>
                      <a:picLocks noChangeAspect="1"/>
                    </pic:cNvPicPr>
                  </pic:nvPicPr>
                  <pic:blipFill>
                    <a:blip r:embed="rId7"/>
                    <a:stretch>
                      <a:fillRect/>
                    </a:stretch>
                  </pic:blipFill>
                  <pic:spPr>
                    <a:xfrm>
                      <a:off x="0" y="0"/>
                      <a:ext cx="6080125" cy="8562340"/>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12" name="图片 12" descr="陕西省环境监测收费标准陕环字(2009)75号(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陕西省环境监测收费标准陕环字(2009)75号(1)_03"/>
                    <pic:cNvPicPr>
                      <a:picLocks noChangeAspect="1"/>
                    </pic:cNvPicPr>
                  </pic:nvPicPr>
                  <pic:blipFill>
                    <a:blip r:embed="rId8"/>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11" name="图片 11" descr="陕西省环境监测收费标准陕环字(2009)75号(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陕西省环境监测收费标准陕环字(2009)75号(1)_04"/>
                    <pic:cNvPicPr>
                      <a:picLocks noChangeAspect="1"/>
                    </pic:cNvPicPr>
                  </pic:nvPicPr>
                  <pic:blipFill>
                    <a:blip r:embed="rId9"/>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10" name="图片 10" descr="陕西省环境监测收费标准陕环字(2009)75号(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陕西省环境监测收费标准陕环字(2009)75号(1)_05"/>
                    <pic:cNvPicPr>
                      <a:picLocks noChangeAspect="1"/>
                    </pic:cNvPicPr>
                  </pic:nvPicPr>
                  <pic:blipFill>
                    <a:blip r:embed="rId10"/>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9" name="图片 9" descr="陕西省环境监测收费标准陕环字(2009)75号(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陕西省环境监测收费标准陕环字(2009)75号(1)_06"/>
                    <pic:cNvPicPr>
                      <a:picLocks noChangeAspect="1"/>
                    </pic:cNvPicPr>
                  </pic:nvPicPr>
                  <pic:blipFill>
                    <a:blip r:embed="rId11"/>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8" name="图片 8" descr="陕西省环境监测收费标准陕环字(2009)75号(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陕西省环境监测收费标准陕环字(2009)75号(1)_07"/>
                    <pic:cNvPicPr>
                      <a:picLocks noChangeAspect="1"/>
                    </pic:cNvPicPr>
                  </pic:nvPicPr>
                  <pic:blipFill>
                    <a:blip r:embed="rId12"/>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7" name="图片 7" descr="陕西省环境监测收费标准陕环字(2009)75号(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陕西省环境监测收费标准陕环字(2009)75号(1)_08"/>
                    <pic:cNvPicPr>
                      <a:picLocks noChangeAspect="1"/>
                    </pic:cNvPicPr>
                  </pic:nvPicPr>
                  <pic:blipFill>
                    <a:blip r:embed="rId13"/>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0760" cy="8437880"/>
            <wp:effectExtent l="0" t="0" r="15240" b="1270"/>
            <wp:docPr id="6" name="图片 6" descr="陕西省环境监测收费标准陕环字(2009)75号(1)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陕西省环境监测收费标准陕环字(2009)75号(1)_09"/>
                    <pic:cNvPicPr>
                      <a:picLocks noChangeAspect="1"/>
                    </pic:cNvPicPr>
                  </pic:nvPicPr>
                  <pic:blipFill>
                    <a:blip r:embed="rId14"/>
                    <a:stretch>
                      <a:fillRect/>
                    </a:stretch>
                  </pic:blipFill>
                  <pic:spPr>
                    <a:xfrm>
                      <a:off x="0" y="0"/>
                      <a:ext cx="6080760" cy="8437880"/>
                    </a:xfrm>
                    <a:prstGeom prst="rect">
                      <a:avLst/>
                    </a:prstGeom>
                  </pic:spPr>
                </pic:pic>
              </a:graphicData>
            </a:graphic>
          </wp:inline>
        </w:drawing>
      </w:r>
      <w:r>
        <w:rPr>
          <w:rFonts w:hint="eastAsia" w:eastAsia="宋体"/>
          <w:lang w:eastAsia="zh-CN"/>
        </w:rPr>
        <w:drawing>
          <wp:inline distT="0" distB="0" distL="114300" distR="114300">
            <wp:extent cx="6077585" cy="8719820"/>
            <wp:effectExtent l="0" t="0" r="18415" b="5080"/>
            <wp:docPr id="5" name="图片 5" descr="陕西省环境监测收费标准陕环字(2009)75号(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陕西省环境监测收费标准陕环字(2009)75号(1)_10"/>
                    <pic:cNvPicPr>
                      <a:picLocks noChangeAspect="1"/>
                    </pic:cNvPicPr>
                  </pic:nvPicPr>
                  <pic:blipFill>
                    <a:blip r:embed="rId15"/>
                    <a:stretch>
                      <a:fillRect/>
                    </a:stretch>
                  </pic:blipFill>
                  <pic:spPr>
                    <a:xfrm>
                      <a:off x="0" y="0"/>
                      <a:ext cx="6077585" cy="8719820"/>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4" name="图片 4" descr="陕西省环境监测收费标准陕环字(2009)75号(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陕西省环境监测收费标准陕环字(2009)75号(1)_11"/>
                    <pic:cNvPicPr>
                      <a:picLocks noChangeAspect="1"/>
                    </pic:cNvPicPr>
                  </pic:nvPicPr>
                  <pic:blipFill>
                    <a:blip r:embed="rId16"/>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3" name="图片 3" descr="陕西省环境监测收费标准陕环字(2009)75号(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陕西省环境监测收费标准陕环字(2009)75号(1)_12"/>
                    <pic:cNvPicPr>
                      <a:picLocks noChangeAspect="1"/>
                    </pic:cNvPicPr>
                  </pic:nvPicPr>
                  <pic:blipFill>
                    <a:blip r:embed="rId17"/>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2" name="图片 2" descr="陕西省环境监测收费标准陕环字(2009)75号(1)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陕西省环境监测收费标准陕环字(2009)75号(1)_13"/>
                    <pic:cNvPicPr>
                      <a:picLocks noChangeAspect="1"/>
                    </pic:cNvPicPr>
                  </pic:nvPicPr>
                  <pic:blipFill>
                    <a:blip r:embed="rId18"/>
                    <a:stretch>
                      <a:fillRect/>
                    </a:stretch>
                  </pic:blipFill>
                  <pic:spPr>
                    <a:xfrm>
                      <a:off x="0" y="0"/>
                      <a:ext cx="6082665" cy="8383905"/>
                    </a:xfrm>
                    <a:prstGeom prst="rect">
                      <a:avLst/>
                    </a:prstGeom>
                  </pic:spPr>
                </pic:pic>
              </a:graphicData>
            </a:graphic>
          </wp:inline>
        </w:drawing>
      </w:r>
      <w:r>
        <w:rPr>
          <w:rFonts w:hint="eastAsia" w:eastAsia="宋体"/>
          <w:lang w:eastAsia="zh-CN"/>
        </w:rPr>
        <w:drawing>
          <wp:inline distT="0" distB="0" distL="114300" distR="114300">
            <wp:extent cx="6082665" cy="8383905"/>
            <wp:effectExtent l="0" t="0" r="13335" b="17145"/>
            <wp:docPr id="1" name="图片 1" descr="陕西省环境监测收费标准陕环字(2009)75号(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陕西省环境监测收费标准陕环字(2009)75号(1)_14"/>
                    <pic:cNvPicPr>
                      <a:picLocks noChangeAspect="1"/>
                    </pic:cNvPicPr>
                  </pic:nvPicPr>
                  <pic:blipFill>
                    <a:blip r:embed="rId19"/>
                    <a:stretch>
                      <a:fillRect/>
                    </a:stretch>
                  </pic:blipFill>
                  <pic:spPr>
                    <a:xfrm>
                      <a:off x="0" y="0"/>
                      <a:ext cx="6082665" cy="8383905"/>
                    </a:xfrm>
                    <a:prstGeom prst="rect">
                      <a:avLst/>
                    </a:prstGeom>
                  </pic:spPr>
                </pic:pic>
              </a:graphicData>
            </a:graphic>
          </wp:inline>
        </w:drawing>
      </w:r>
    </w:p>
    <w:sectPr>
      <w:footerReference r:id="rId3" w:type="default"/>
      <w:pgSz w:w="11906" w:h="16838"/>
      <w:pgMar w:top="1440" w:right="1080" w:bottom="1440" w:left="1247"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CC77A">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inside</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234332">
                          <w:pPr>
                            <w:pStyle w:val="4"/>
                          </w:pPr>
                          <w:r>
                            <w:t>—</w:t>
                          </w: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04234332">
                    <w:pPr>
                      <w:pStyle w:val="4"/>
                    </w:pPr>
                    <w:r>
                      <w:t>—</w:t>
                    </w: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bullet"/>
      <w:lvlText w:val=""/>
      <w:lvlJc w:val="left"/>
      <w:pPr>
        <w:ind w:left="0"/>
      </w:pPr>
      <w:rPr>
        <w:rFonts w:hint="default" w:ascii="Wingdings" w:hAnsi="Wingdings"/>
      </w:rPr>
    </w:lvl>
  </w:abstractNum>
  <w:abstractNum w:abstractNumId="1">
    <w:nsid w:val="3D2A88BD"/>
    <w:multiLevelType w:val="multilevel"/>
    <w:tmpl w:val="3D2A88BD"/>
    <w:lvl w:ilvl="0" w:tentative="0">
      <w:start w:val="1"/>
      <w:numFmt w:val="chineseCounting"/>
      <w:pStyle w:val="3"/>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
    <w:nsid w:val="6CE8FF83"/>
    <w:multiLevelType w:val="singleLevel"/>
    <w:tmpl w:val="6CE8FF83"/>
    <w:lvl w:ilvl="0" w:tentative="0">
      <w:start w:val="1"/>
      <w:numFmt w:val="chineseCounting"/>
      <w:suff w:val="nothing"/>
      <w:lvlText w:val="（%1）"/>
      <w:lvlJc w:val="left"/>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2"/>
  <w:displayVerticalDrawingGridEvery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Y2MDkzODY1ZTk2NTQzZDRkOGI1ODFhNjNmNGNhY2EifQ=="/>
  </w:docVars>
  <w:rsids>
    <w:rsidRoot w:val="71D65F3B"/>
    <w:rsid w:val="067A4DB2"/>
    <w:rsid w:val="12F23A34"/>
    <w:rsid w:val="179F6187"/>
    <w:rsid w:val="1F566613"/>
    <w:rsid w:val="29BF6FA8"/>
    <w:rsid w:val="2C642B36"/>
    <w:rsid w:val="337113E9"/>
    <w:rsid w:val="39B276AB"/>
    <w:rsid w:val="4F4F49C5"/>
    <w:rsid w:val="507F6F00"/>
    <w:rsid w:val="59F249E4"/>
    <w:rsid w:val="60C51249"/>
    <w:rsid w:val="701D7283"/>
    <w:rsid w:val="71D65F3B"/>
    <w:rsid w:val="7FEA3E02"/>
    <w:rsid w:val="7FEE5B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宋体" w:hAnsi="Times New Roman" w:eastAsia="宋体" w:cs="Times New Roman"/>
      <w:sz w:val="24"/>
      <w:lang w:val="en-US" w:eastAsia="zh-CN" w:bidi="ar-SA"/>
    </w:rPr>
  </w:style>
  <w:style w:type="paragraph" w:styleId="3">
    <w:name w:val="heading 1"/>
    <w:basedOn w:val="1"/>
    <w:next w:val="1"/>
    <w:link w:val="8"/>
    <w:qFormat/>
    <w:uiPriority w:val="0"/>
    <w:pPr>
      <w:keepNext/>
      <w:keepLines/>
      <w:numPr>
        <w:ilvl w:val="0"/>
        <w:numId w:val="1"/>
      </w:numPr>
      <w:spacing w:before="340" w:after="330" w:line="576" w:lineRule="auto"/>
      <w:ind w:firstLine="0" w:firstLineChars="0"/>
      <w:jc w:val="center"/>
      <w:outlineLvl w:val="0"/>
    </w:pPr>
    <w:rPr>
      <w:b/>
      <w:kern w:val="44"/>
      <w:sz w:val="44"/>
    </w:rPr>
  </w:style>
  <w:style w:type="paragraph" w:styleId="2">
    <w:name w:val="heading 4"/>
    <w:basedOn w:val="1"/>
    <w:next w:val="1"/>
    <w:qFormat/>
    <w:uiPriority w:val="0"/>
    <w:pPr>
      <w:keepNext/>
      <w:keepLines/>
      <w:tabs>
        <w:tab w:val="left" w:pos="864"/>
      </w:tabs>
      <w:spacing w:before="120" w:line="360" w:lineRule="auto"/>
      <w:ind w:left="864" w:hanging="864"/>
      <w:outlineLvl w:val="3"/>
    </w:pPr>
    <w:rPr>
      <w:rFonts w:ascii="Arial" w:hAnsi="Arial"/>
      <w:bCs/>
      <w:kern w:val="2"/>
      <w:szCs w:val="28"/>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customStyle="1" w:styleId="8">
    <w:name w:val="标题 1 Char"/>
    <w:link w:val="3"/>
    <w:autoRedefine/>
    <w:qFormat/>
    <w:uiPriority w:val="9"/>
    <w:rPr>
      <w:b/>
      <w:kern w:val="44"/>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5226</Words>
  <Characters>5637</Characters>
  <Lines>0</Lines>
  <Paragraphs>0</Paragraphs>
  <TotalTime>7</TotalTime>
  <ScaleCrop>false</ScaleCrop>
  <LinksUpToDate>false</LinksUpToDate>
  <CharactersWithSpaces>5765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2024-05-24T06:05:00Z</dcterms:created>
  <dc:creator>李</dc:creator>
  <cp:lastModifiedBy>Admin</cp:lastModifiedBy>
  <cp:lastPrinted>2024-06-19T08:40:00Z</cp:lastPrinted>
  <dcterms:modified xsi:type="dcterms:W3CDTF">2025-07-17T11:53:51Z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6452FC371AC94994AFCE15E797181243_13</vt:lpwstr>
  </property>
  <property fmtid="{D5CDD505-2E9C-101B-9397-08002B2CF9AE}" pid="4" name="KSOTemplateDocerSaveRecord">
    <vt:lpwstr>eyJoZGlkIjoiYjg2NDMzMzczNTJmYmZmMzdiNmJkODNkZWI4ZjZlMmMifQ==</vt:lpwstr>
  </property>
</Properties>
</file>