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D7796">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14:paraId="4BB7557B">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cs="仿宋"/>
          <w:color w:val="auto"/>
          <w:kern w:val="0"/>
          <w:sz w:val="24"/>
          <w:szCs w:val="24"/>
          <w:lang w:val="en-US" w:eastAsia="zh-CN" w:bidi="ar"/>
        </w:rPr>
        <w:t>1.</w:t>
      </w:r>
      <w:r>
        <w:rPr>
          <w:rFonts w:hint="eastAsia" w:ascii="仿宋" w:hAnsi="仿宋" w:eastAsia="仿宋" w:cs="仿宋"/>
          <w:color w:val="auto"/>
          <w:kern w:val="0"/>
          <w:sz w:val="24"/>
          <w:szCs w:val="24"/>
          <w:lang w:val="en-US" w:eastAsia="zh-CN" w:bidi="ar"/>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3DC4D9B8">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2.具有良好的商业信誉和健全的财务会计制度（提供2023年度财务审计报告或</w:t>
      </w:r>
      <w:r>
        <w:rPr>
          <w:rFonts w:hint="eastAsia" w:ascii="仿宋" w:hAnsi="仿宋" w:cs="仿宋"/>
          <w:color w:val="auto"/>
          <w:kern w:val="0"/>
          <w:sz w:val="24"/>
          <w:szCs w:val="24"/>
          <w:lang w:val="en-US" w:eastAsia="zh-CN" w:bidi="ar"/>
        </w:rPr>
        <w:t>2024年度财务审计报告或</w:t>
      </w:r>
      <w:r>
        <w:rPr>
          <w:rFonts w:hint="eastAsia" w:ascii="仿宋" w:hAnsi="仿宋" w:eastAsia="仿宋" w:cs="仿宋"/>
          <w:color w:val="auto"/>
          <w:kern w:val="0"/>
          <w:sz w:val="24"/>
          <w:szCs w:val="24"/>
          <w:lang w:val="en-US" w:eastAsia="zh-CN" w:bidi="ar"/>
        </w:rPr>
        <w:t xml:space="preserve">开标前6个月内银行资信证明或财政部门认可的政府采购专业担保机构出具的投标担保函）； </w:t>
      </w:r>
    </w:p>
    <w:p w14:paraId="6339E17C">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3.具有履行合同所必需的服务能力（格式详见附件）； </w:t>
      </w:r>
    </w:p>
    <w:p w14:paraId="65F24E7A">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4.具有依法缴纳税收和社会保障资金的良好记录（提供开标前</w:t>
      </w:r>
      <w:r>
        <w:rPr>
          <w:rFonts w:hint="eastAsia" w:ascii="仿宋" w:hAnsi="仿宋" w:cs="仿宋"/>
          <w:color w:val="auto"/>
          <w:kern w:val="0"/>
          <w:sz w:val="24"/>
          <w:szCs w:val="24"/>
          <w:lang w:val="en-US" w:eastAsia="zh-CN" w:bidi="ar"/>
        </w:rPr>
        <w:t>6</w:t>
      </w:r>
      <w:r>
        <w:rPr>
          <w:rFonts w:hint="eastAsia" w:ascii="仿宋" w:hAnsi="仿宋" w:eastAsia="仿宋" w:cs="仿宋"/>
          <w:color w:val="auto"/>
          <w:kern w:val="0"/>
          <w:sz w:val="24"/>
          <w:szCs w:val="24"/>
          <w:lang w:val="en-US" w:eastAsia="zh-CN" w:bidi="ar"/>
        </w:rPr>
        <w:t>个月内任一月份的社保和缴纳税收的证明，税种须包含</w:t>
      </w:r>
      <w:r>
        <w:rPr>
          <w:rFonts w:hint="eastAsia" w:ascii="仿宋_GB2312" w:hAnsi="仿宋_GB2312" w:eastAsia="仿宋_GB2312" w:cs="仿宋_GB2312"/>
          <w:lang w:eastAsia="zh-CN"/>
        </w:rPr>
        <w:t>不同于社保税的其它税种</w:t>
      </w:r>
      <w:r>
        <w:rPr>
          <w:rFonts w:hint="eastAsia" w:ascii="仿宋" w:hAnsi="仿宋" w:eastAsia="仿宋" w:cs="仿宋"/>
          <w:color w:val="auto"/>
          <w:kern w:val="0"/>
          <w:sz w:val="24"/>
          <w:szCs w:val="24"/>
          <w:lang w:val="en-US" w:eastAsia="zh-CN" w:bidi="ar"/>
        </w:rPr>
        <w:t xml:space="preserve">，依法不需要缴纳社会保障资金、免税或无须缴纳税款的供应商，应提供相关证明文件)； </w:t>
      </w:r>
    </w:p>
    <w:p w14:paraId="000BA7EB">
      <w:pPr>
        <w:keepNext w:val="0"/>
        <w:keepLines w:val="0"/>
        <w:widowControl/>
        <w:numPr>
          <w:ilvl w:val="0"/>
          <w:numId w:val="0"/>
        </w:numPr>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5.参加政府采购活动前三年内，在经营活动中没有重大违法记录（格式详见附件）；</w:t>
      </w:r>
    </w:p>
    <w:p w14:paraId="426CAF56">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w:t>
      </w:r>
      <w:r>
        <w:rPr>
          <w:rFonts w:hint="eastAsia" w:ascii="仿宋" w:hAnsi="仿宋" w:cs="仿宋"/>
          <w:color w:val="auto"/>
          <w:kern w:val="0"/>
          <w:sz w:val="24"/>
          <w:szCs w:val="24"/>
          <w:lang w:val="en-US" w:eastAsia="zh-CN" w:bidi="ar"/>
        </w:rPr>
        <w:t>.</w:t>
      </w:r>
      <w:r>
        <w:t>法定代表人直接参加的，须出示身份证；法定代表人授权他人参加的，须提供法定代表人授权委托书、被授权人身份证</w:t>
      </w:r>
      <w:r>
        <w:rPr>
          <w:rFonts w:hint="eastAsia" w:ascii="仿宋" w:hAnsi="仿宋" w:eastAsia="仿宋" w:cs="仿宋"/>
          <w:color w:val="auto"/>
          <w:kern w:val="0"/>
          <w:sz w:val="24"/>
          <w:szCs w:val="24"/>
          <w:lang w:val="en-US" w:eastAsia="zh-CN" w:bidi="ar"/>
        </w:rPr>
        <w:t>（格式详见附件）；</w:t>
      </w:r>
    </w:p>
    <w:p w14:paraId="48CF1257">
      <w:pPr>
        <w:rPr>
          <w:rFonts w:hint="eastAsia" w:ascii="仿宋" w:hAnsi="仿宋" w:cs="仿宋"/>
          <w:szCs w:val="24"/>
        </w:rPr>
      </w:pPr>
      <w:r>
        <w:rPr>
          <w:rFonts w:hint="eastAsia" w:ascii="仿宋" w:hAnsi="仿宋" w:cs="仿宋"/>
          <w:szCs w:val="24"/>
          <w:lang w:val="en-US" w:eastAsia="zh-CN"/>
        </w:rPr>
        <w:t>7.本项目不接受联合体磋商</w:t>
      </w:r>
    </w:p>
    <w:p w14:paraId="63414F89">
      <w:pPr>
        <w:rPr>
          <w:rFonts w:hint="eastAsia" w:ascii="仿宋" w:hAnsi="仿宋" w:cs="仿宋"/>
          <w:b/>
          <w:bCs/>
          <w:szCs w:val="24"/>
        </w:rPr>
      </w:pPr>
      <w:r>
        <w:rPr>
          <w:rFonts w:hint="eastAsia" w:ascii="仿宋" w:hAnsi="仿宋" w:cs="仿宋"/>
          <w:b/>
          <w:bCs/>
          <w:szCs w:val="24"/>
        </w:rPr>
        <w:t>注：资格证明文件须加盖供应商公章。</w:t>
      </w:r>
    </w:p>
    <w:p w14:paraId="69D58574">
      <w:pPr>
        <w:ind w:firstLine="480" w:firstLineChars="200"/>
        <w:rPr>
          <w:rFonts w:hint="eastAsia" w:ascii="仿宋" w:hAnsi="仿宋" w:cs="仿宋"/>
          <w:color w:val="36363D"/>
          <w:szCs w:val="24"/>
        </w:rPr>
      </w:pPr>
    </w:p>
    <w:p w14:paraId="04A16E4E">
      <w:pPr>
        <w:ind w:firstLine="480" w:firstLineChars="200"/>
        <w:rPr>
          <w:rFonts w:hint="eastAsia" w:ascii="仿宋" w:hAnsi="仿宋" w:cs="仿宋"/>
          <w:color w:val="36363D"/>
          <w:szCs w:val="24"/>
        </w:rPr>
      </w:pPr>
    </w:p>
    <w:p w14:paraId="604D66A6">
      <w:pPr>
        <w:ind w:firstLine="480" w:firstLineChars="200"/>
        <w:rPr>
          <w:rFonts w:hint="eastAsia" w:ascii="仿宋" w:hAnsi="仿宋" w:cs="仿宋"/>
          <w:color w:val="36363D"/>
          <w:szCs w:val="24"/>
        </w:rPr>
      </w:pPr>
    </w:p>
    <w:p w14:paraId="7ADB0C7B">
      <w:pPr>
        <w:pStyle w:val="7"/>
        <w:rPr>
          <w:rFonts w:hint="eastAsia" w:ascii="仿宋" w:hAnsi="仿宋" w:eastAsia="仿宋" w:cs="仿宋"/>
          <w:color w:val="36363D"/>
        </w:rPr>
      </w:pPr>
    </w:p>
    <w:p w14:paraId="63A1A4EB">
      <w:pPr>
        <w:pStyle w:val="7"/>
        <w:rPr>
          <w:rFonts w:hint="eastAsia" w:ascii="仿宋" w:hAnsi="仿宋" w:eastAsia="仿宋" w:cs="仿宋"/>
          <w:color w:val="36363D"/>
        </w:rPr>
      </w:pPr>
    </w:p>
    <w:p w14:paraId="7F45C26F">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22076"/>
      <w:bookmarkStart w:id="1" w:name="_Toc9313"/>
      <w:bookmarkStart w:id="2" w:name="_Toc7795"/>
      <w:bookmarkStart w:id="3" w:name="_Toc19440"/>
      <w:bookmarkStart w:id="4" w:name="_Toc21415"/>
      <w:bookmarkStart w:id="5" w:name="_Toc17494"/>
      <w:bookmarkStart w:id="6" w:name="_Toc9245"/>
      <w:bookmarkStart w:id="7" w:name="_Toc25776"/>
      <w:bookmarkStart w:id="8" w:name="_Toc5759"/>
      <w:bookmarkStart w:id="9" w:name="_Toc27886"/>
      <w:bookmarkStart w:id="10" w:name="_Toc6704"/>
      <w:bookmarkStart w:id="11" w:name="_Toc21200"/>
      <w:bookmarkStart w:id="12" w:name="_Toc7604"/>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14:paraId="28AB5041">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7020"/>
      <w:bookmarkStart w:id="14" w:name="_Toc9655"/>
      <w:bookmarkStart w:id="15" w:name="_Toc5390"/>
      <w:bookmarkStart w:id="16" w:name="_Toc20620"/>
      <w:bookmarkStart w:id="17" w:name="_Toc959"/>
      <w:bookmarkStart w:id="18" w:name="_Toc6501"/>
      <w:bookmarkStart w:id="19" w:name="_Toc295"/>
      <w:bookmarkStart w:id="20" w:name="_Toc29152"/>
      <w:bookmarkStart w:id="21" w:name="_Toc27860"/>
      <w:bookmarkStart w:id="22" w:name="_Toc14555"/>
      <w:bookmarkStart w:id="23" w:name="_Toc249"/>
      <w:bookmarkStart w:id="24" w:name="_Toc21467"/>
      <w:bookmarkStart w:id="25" w:name="_Toc10566"/>
      <w:r>
        <w:rPr>
          <w:rFonts w:hint="eastAsia" w:ascii="仿宋" w:hAnsi="仿宋" w:eastAsia="仿宋" w:cs="仿宋"/>
          <w:color w:val="0D0D0D"/>
          <w:kern w:val="1"/>
          <w:sz w:val="24"/>
          <w:lang w:val="en-US" w:eastAsia="zh-CN"/>
        </w:rPr>
        <w:t>9-2</w:t>
      </w:r>
      <w:r>
        <w:rPr>
          <w:rFonts w:hint="eastAsia" w:ascii="仿宋" w:hAnsi="仿宋" w:eastAsia="仿宋" w:cs="仿宋"/>
          <w:color w:val="auto"/>
          <w:kern w:val="0"/>
          <w:sz w:val="24"/>
          <w:szCs w:val="24"/>
          <w:lang w:val="en-US" w:eastAsia="zh-CN" w:bidi="ar"/>
        </w:rPr>
        <w:t>具有良好的商业信誉和健全的财务会计制度（提供2023年度财务审计报告2024年度财务审计报告或或开标前6个月内银行资信证明或财政部门认可的政府采购专业担保机构出具的投标担保函）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14:paraId="00632430">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4788"/>
      <w:bookmarkStart w:id="27" w:name="_Toc13195"/>
      <w:bookmarkStart w:id="28" w:name="_Toc30477"/>
      <w:bookmarkStart w:id="29" w:name="_Toc31455"/>
      <w:bookmarkStart w:id="30" w:name="_Toc15615"/>
      <w:bookmarkStart w:id="31" w:name="_Toc7791"/>
      <w:bookmarkStart w:id="32" w:name="_Toc10778"/>
      <w:bookmarkStart w:id="33" w:name="_Toc13233"/>
      <w:bookmarkStart w:id="34" w:name="_Toc13516"/>
      <w:bookmarkStart w:id="35" w:name="_Toc5468"/>
      <w:bookmarkStart w:id="36" w:name="_Toc20375"/>
      <w:bookmarkStart w:id="37" w:name="_Toc27097"/>
      <w:bookmarkStart w:id="38" w:name="_Toc2910"/>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lang w:val="en-US" w:eastAsia="zh-CN"/>
        </w:rPr>
        <w:t>具有履行合同所必需的服务能力（格式详见附件）</w:t>
      </w:r>
    </w:p>
    <w:p w14:paraId="22848A4D">
      <w:pPr>
        <w:rPr>
          <w:rFonts w:hint="eastAsia" w:ascii="仿宋" w:hAnsi="仿宋" w:cs="仿宋"/>
          <w:spacing w:val="4"/>
          <w:u w:val="single"/>
        </w:rPr>
      </w:pPr>
      <w:r>
        <w:rPr>
          <w:rFonts w:hint="eastAsia" w:ascii="仿宋" w:hAnsi="仿宋" w:cs="仿宋"/>
          <w:spacing w:val="4"/>
          <w:u w:val="single"/>
          <w:lang w:val="en-US" w:eastAsia="zh-CN"/>
        </w:rPr>
        <w:t xml:space="preserve">（采购人名称）    </w:t>
      </w:r>
      <w:r>
        <w:rPr>
          <w:rFonts w:hint="eastAsia" w:ascii="仿宋" w:hAnsi="仿宋" w:cs="仿宋"/>
          <w:spacing w:val="4"/>
          <w:u w:val="single"/>
        </w:rPr>
        <w:t>：</w:t>
      </w:r>
    </w:p>
    <w:p w14:paraId="0AC05564">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1FE60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14B6C5A2">
            <w:pPr>
              <w:jc w:val="center"/>
              <w:rPr>
                <w:rFonts w:hint="eastAsia" w:ascii="仿宋" w:hAnsi="仿宋" w:cs="仿宋"/>
              </w:rPr>
            </w:pPr>
            <w:r>
              <w:rPr>
                <w:rFonts w:hint="eastAsia" w:ascii="仿宋" w:hAnsi="仿宋" w:cs="仿宋"/>
              </w:rPr>
              <w:t>履行合同所必需的设备清单</w:t>
            </w:r>
          </w:p>
        </w:tc>
      </w:tr>
      <w:tr w14:paraId="45C0F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63BDA748">
            <w:pPr>
              <w:jc w:val="center"/>
              <w:rPr>
                <w:rFonts w:hint="eastAsia" w:ascii="仿宋" w:hAnsi="仿宋" w:cs="仿宋"/>
              </w:rPr>
            </w:pPr>
            <w:r>
              <w:rPr>
                <w:rFonts w:hint="eastAsia" w:ascii="仿宋" w:hAnsi="仿宋" w:cs="仿宋"/>
              </w:rPr>
              <w:t>序号</w:t>
            </w:r>
          </w:p>
        </w:tc>
        <w:tc>
          <w:tcPr>
            <w:tcW w:w="2384" w:type="dxa"/>
            <w:noWrap w:val="0"/>
            <w:vAlign w:val="center"/>
          </w:tcPr>
          <w:p w14:paraId="3D98B058">
            <w:pPr>
              <w:jc w:val="center"/>
              <w:rPr>
                <w:rFonts w:hint="eastAsia" w:ascii="仿宋" w:hAnsi="仿宋" w:cs="仿宋"/>
              </w:rPr>
            </w:pPr>
            <w:r>
              <w:rPr>
                <w:rFonts w:hint="eastAsia" w:ascii="仿宋" w:hAnsi="仿宋" w:cs="仿宋"/>
              </w:rPr>
              <w:t>设备或材料名称</w:t>
            </w:r>
          </w:p>
        </w:tc>
        <w:tc>
          <w:tcPr>
            <w:tcW w:w="2007" w:type="dxa"/>
            <w:noWrap w:val="0"/>
            <w:vAlign w:val="center"/>
          </w:tcPr>
          <w:p w14:paraId="67D1F047">
            <w:pPr>
              <w:jc w:val="center"/>
              <w:rPr>
                <w:rFonts w:hint="eastAsia" w:ascii="仿宋" w:hAnsi="仿宋" w:cs="仿宋"/>
              </w:rPr>
            </w:pPr>
            <w:r>
              <w:rPr>
                <w:rFonts w:hint="eastAsia" w:ascii="仿宋" w:hAnsi="仿宋" w:cs="仿宋"/>
              </w:rPr>
              <w:t>品牌及型号</w:t>
            </w:r>
          </w:p>
        </w:tc>
        <w:tc>
          <w:tcPr>
            <w:tcW w:w="753" w:type="dxa"/>
            <w:noWrap w:val="0"/>
            <w:vAlign w:val="center"/>
          </w:tcPr>
          <w:p w14:paraId="16FD6E3E">
            <w:pPr>
              <w:jc w:val="center"/>
              <w:rPr>
                <w:rFonts w:hint="eastAsia" w:ascii="仿宋" w:hAnsi="仿宋" w:cs="仿宋"/>
              </w:rPr>
            </w:pPr>
            <w:r>
              <w:rPr>
                <w:rFonts w:hint="eastAsia" w:ascii="仿宋" w:hAnsi="仿宋" w:cs="仿宋"/>
              </w:rPr>
              <w:t>数量</w:t>
            </w:r>
          </w:p>
        </w:tc>
        <w:tc>
          <w:tcPr>
            <w:tcW w:w="2269" w:type="dxa"/>
            <w:noWrap w:val="0"/>
            <w:vAlign w:val="center"/>
          </w:tcPr>
          <w:p w14:paraId="74E10E0C">
            <w:pPr>
              <w:jc w:val="center"/>
              <w:rPr>
                <w:rFonts w:hint="eastAsia" w:ascii="仿宋" w:hAnsi="仿宋" w:cs="仿宋"/>
              </w:rPr>
            </w:pPr>
            <w:r>
              <w:rPr>
                <w:rFonts w:hint="eastAsia" w:ascii="仿宋" w:hAnsi="仿宋" w:cs="仿宋"/>
              </w:rPr>
              <w:t>备注（自购/租赁）</w:t>
            </w:r>
          </w:p>
        </w:tc>
      </w:tr>
      <w:tr w14:paraId="00579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6074C27A">
            <w:pPr>
              <w:jc w:val="center"/>
              <w:rPr>
                <w:rFonts w:hint="eastAsia" w:ascii="仿宋" w:hAnsi="仿宋" w:cs="仿宋"/>
              </w:rPr>
            </w:pPr>
            <w:r>
              <w:rPr>
                <w:rFonts w:hint="eastAsia" w:ascii="仿宋" w:hAnsi="仿宋" w:cs="仿宋"/>
              </w:rPr>
              <w:t>1</w:t>
            </w:r>
          </w:p>
        </w:tc>
        <w:tc>
          <w:tcPr>
            <w:tcW w:w="2384" w:type="dxa"/>
            <w:noWrap w:val="0"/>
            <w:vAlign w:val="center"/>
          </w:tcPr>
          <w:p w14:paraId="71FC82C9">
            <w:pPr>
              <w:jc w:val="center"/>
              <w:rPr>
                <w:rFonts w:hint="eastAsia" w:ascii="仿宋" w:hAnsi="仿宋" w:cs="仿宋"/>
              </w:rPr>
            </w:pPr>
          </w:p>
        </w:tc>
        <w:tc>
          <w:tcPr>
            <w:tcW w:w="2007" w:type="dxa"/>
            <w:noWrap w:val="0"/>
            <w:vAlign w:val="center"/>
          </w:tcPr>
          <w:p w14:paraId="2F2E0EB4">
            <w:pPr>
              <w:jc w:val="center"/>
              <w:rPr>
                <w:rFonts w:hint="eastAsia" w:ascii="仿宋" w:hAnsi="仿宋" w:cs="仿宋"/>
              </w:rPr>
            </w:pPr>
          </w:p>
        </w:tc>
        <w:tc>
          <w:tcPr>
            <w:tcW w:w="753" w:type="dxa"/>
            <w:noWrap w:val="0"/>
            <w:vAlign w:val="center"/>
          </w:tcPr>
          <w:p w14:paraId="02149871">
            <w:pPr>
              <w:jc w:val="center"/>
              <w:rPr>
                <w:rFonts w:hint="eastAsia" w:ascii="仿宋" w:hAnsi="仿宋" w:cs="仿宋"/>
              </w:rPr>
            </w:pPr>
          </w:p>
        </w:tc>
        <w:tc>
          <w:tcPr>
            <w:tcW w:w="2269" w:type="dxa"/>
            <w:noWrap w:val="0"/>
            <w:vAlign w:val="center"/>
          </w:tcPr>
          <w:p w14:paraId="0901A31B">
            <w:pPr>
              <w:jc w:val="center"/>
              <w:rPr>
                <w:rFonts w:hint="eastAsia" w:ascii="仿宋" w:hAnsi="仿宋" w:cs="仿宋"/>
              </w:rPr>
            </w:pPr>
          </w:p>
        </w:tc>
      </w:tr>
      <w:tr w14:paraId="254FD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5188E2A5">
            <w:pPr>
              <w:jc w:val="center"/>
              <w:rPr>
                <w:rFonts w:hint="eastAsia" w:ascii="仿宋" w:hAnsi="仿宋" w:cs="仿宋"/>
              </w:rPr>
            </w:pPr>
            <w:r>
              <w:rPr>
                <w:rFonts w:hint="eastAsia" w:ascii="仿宋" w:hAnsi="仿宋" w:cs="仿宋"/>
              </w:rPr>
              <w:t>2</w:t>
            </w:r>
          </w:p>
        </w:tc>
        <w:tc>
          <w:tcPr>
            <w:tcW w:w="2384" w:type="dxa"/>
            <w:noWrap w:val="0"/>
            <w:vAlign w:val="center"/>
          </w:tcPr>
          <w:p w14:paraId="19D54312">
            <w:pPr>
              <w:jc w:val="center"/>
              <w:rPr>
                <w:rFonts w:hint="eastAsia" w:ascii="仿宋" w:hAnsi="仿宋" w:cs="仿宋"/>
              </w:rPr>
            </w:pPr>
          </w:p>
        </w:tc>
        <w:tc>
          <w:tcPr>
            <w:tcW w:w="2007" w:type="dxa"/>
            <w:noWrap w:val="0"/>
            <w:vAlign w:val="center"/>
          </w:tcPr>
          <w:p w14:paraId="628295CC">
            <w:pPr>
              <w:jc w:val="center"/>
              <w:rPr>
                <w:rFonts w:hint="eastAsia" w:ascii="仿宋" w:hAnsi="仿宋" w:cs="仿宋"/>
              </w:rPr>
            </w:pPr>
          </w:p>
        </w:tc>
        <w:tc>
          <w:tcPr>
            <w:tcW w:w="753" w:type="dxa"/>
            <w:noWrap w:val="0"/>
            <w:vAlign w:val="center"/>
          </w:tcPr>
          <w:p w14:paraId="63ABA0C1">
            <w:pPr>
              <w:jc w:val="center"/>
              <w:rPr>
                <w:rFonts w:hint="eastAsia" w:ascii="仿宋" w:hAnsi="仿宋" w:cs="仿宋"/>
              </w:rPr>
            </w:pPr>
          </w:p>
        </w:tc>
        <w:tc>
          <w:tcPr>
            <w:tcW w:w="2269" w:type="dxa"/>
            <w:noWrap w:val="0"/>
            <w:vAlign w:val="center"/>
          </w:tcPr>
          <w:p w14:paraId="6EA8A463">
            <w:pPr>
              <w:jc w:val="center"/>
              <w:rPr>
                <w:rFonts w:hint="eastAsia" w:ascii="仿宋" w:hAnsi="仿宋" w:cs="仿宋"/>
              </w:rPr>
            </w:pPr>
          </w:p>
        </w:tc>
      </w:tr>
      <w:tr w14:paraId="7D37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0870079F">
            <w:pPr>
              <w:jc w:val="center"/>
              <w:rPr>
                <w:rFonts w:hint="eastAsia" w:ascii="仿宋" w:hAnsi="仿宋" w:cs="仿宋"/>
              </w:rPr>
            </w:pPr>
            <w:r>
              <w:rPr>
                <w:rFonts w:hint="eastAsia" w:ascii="仿宋" w:hAnsi="仿宋" w:cs="仿宋"/>
              </w:rPr>
              <w:t>3</w:t>
            </w:r>
          </w:p>
        </w:tc>
        <w:tc>
          <w:tcPr>
            <w:tcW w:w="2384" w:type="dxa"/>
            <w:noWrap w:val="0"/>
            <w:vAlign w:val="center"/>
          </w:tcPr>
          <w:p w14:paraId="29BF91F3">
            <w:pPr>
              <w:jc w:val="center"/>
              <w:rPr>
                <w:rFonts w:hint="eastAsia" w:ascii="仿宋" w:hAnsi="仿宋" w:cs="仿宋"/>
              </w:rPr>
            </w:pPr>
          </w:p>
        </w:tc>
        <w:tc>
          <w:tcPr>
            <w:tcW w:w="2007" w:type="dxa"/>
            <w:noWrap w:val="0"/>
            <w:vAlign w:val="center"/>
          </w:tcPr>
          <w:p w14:paraId="435FCA64">
            <w:pPr>
              <w:jc w:val="center"/>
              <w:rPr>
                <w:rFonts w:hint="eastAsia" w:ascii="仿宋" w:hAnsi="仿宋" w:cs="仿宋"/>
              </w:rPr>
            </w:pPr>
          </w:p>
        </w:tc>
        <w:tc>
          <w:tcPr>
            <w:tcW w:w="753" w:type="dxa"/>
            <w:noWrap w:val="0"/>
            <w:vAlign w:val="center"/>
          </w:tcPr>
          <w:p w14:paraId="53F68490">
            <w:pPr>
              <w:jc w:val="center"/>
              <w:rPr>
                <w:rFonts w:hint="eastAsia" w:ascii="仿宋" w:hAnsi="仿宋" w:cs="仿宋"/>
              </w:rPr>
            </w:pPr>
          </w:p>
        </w:tc>
        <w:tc>
          <w:tcPr>
            <w:tcW w:w="2269" w:type="dxa"/>
            <w:noWrap w:val="0"/>
            <w:vAlign w:val="center"/>
          </w:tcPr>
          <w:p w14:paraId="431CE2B8">
            <w:pPr>
              <w:jc w:val="center"/>
              <w:rPr>
                <w:rFonts w:hint="eastAsia" w:ascii="仿宋" w:hAnsi="仿宋" w:cs="仿宋"/>
              </w:rPr>
            </w:pPr>
          </w:p>
        </w:tc>
      </w:tr>
      <w:tr w14:paraId="72FCA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4B2D6B6B">
            <w:pPr>
              <w:jc w:val="center"/>
              <w:rPr>
                <w:rFonts w:hint="eastAsia" w:ascii="仿宋" w:hAnsi="仿宋" w:cs="仿宋"/>
              </w:rPr>
            </w:pPr>
            <w:r>
              <w:rPr>
                <w:rFonts w:hint="eastAsia" w:ascii="仿宋" w:hAnsi="仿宋" w:cs="仿宋"/>
              </w:rPr>
              <w:t>….</w:t>
            </w:r>
          </w:p>
        </w:tc>
        <w:tc>
          <w:tcPr>
            <w:tcW w:w="2384" w:type="dxa"/>
            <w:noWrap w:val="0"/>
            <w:vAlign w:val="center"/>
          </w:tcPr>
          <w:p w14:paraId="01B561B1">
            <w:pPr>
              <w:jc w:val="center"/>
              <w:rPr>
                <w:rFonts w:hint="eastAsia" w:ascii="仿宋" w:hAnsi="仿宋" w:cs="仿宋"/>
              </w:rPr>
            </w:pPr>
          </w:p>
        </w:tc>
        <w:tc>
          <w:tcPr>
            <w:tcW w:w="2007" w:type="dxa"/>
            <w:noWrap w:val="0"/>
            <w:vAlign w:val="center"/>
          </w:tcPr>
          <w:p w14:paraId="5109C0B1">
            <w:pPr>
              <w:jc w:val="center"/>
              <w:rPr>
                <w:rFonts w:hint="eastAsia" w:ascii="仿宋" w:hAnsi="仿宋" w:cs="仿宋"/>
              </w:rPr>
            </w:pPr>
          </w:p>
        </w:tc>
        <w:tc>
          <w:tcPr>
            <w:tcW w:w="753" w:type="dxa"/>
            <w:noWrap w:val="0"/>
            <w:vAlign w:val="center"/>
          </w:tcPr>
          <w:p w14:paraId="37DA7BC7">
            <w:pPr>
              <w:jc w:val="center"/>
              <w:rPr>
                <w:rFonts w:hint="eastAsia" w:ascii="仿宋" w:hAnsi="仿宋" w:cs="仿宋"/>
              </w:rPr>
            </w:pPr>
          </w:p>
        </w:tc>
        <w:tc>
          <w:tcPr>
            <w:tcW w:w="2269" w:type="dxa"/>
            <w:noWrap w:val="0"/>
            <w:vAlign w:val="center"/>
          </w:tcPr>
          <w:p w14:paraId="7D64C619">
            <w:pPr>
              <w:jc w:val="center"/>
              <w:rPr>
                <w:rFonts w:hint="eastAsia" w:ascii="仿宋" w:hAnsi="仿宋" w:cs="仿宋"/>
              </w:rPr>
            </w:pPr>
          </w:p>
        </w:tc>
      </w:tr>
    </w:tbl>
    <w:p w14:paraId="29AB17C4">
      <w:pPr>
        <w:spacing w:before="312" w:beforeLines="100" w:after="156" w:afterLines="50"/>
        <w:ind w:firstLine="170"/>
        <w:rPr>
          <w:rFonts w:hint="eastAsia" w:ascii="仿宋" w:hAnsi="仿宋" w:cs="仿宋"/>
          <w:spacing w:val="4"/>
        </w:rPr>
      </w:pPr>
    </w:p>
    <w:p w14:paraId="2E927407">
      <w:pPr>
        <w:pStyle w:val="3"/>
        <w:rPr>
          <w:rFonts w:hint="eastAsia" w:ascii="仿宋" w:hAnsi="仿宋" w:eastAsia="仿宋" w:cs="仿宋"/>
          <w:b w:val="0"/>
          <w:bCs w:val="0"/>
          <w:spacing w:val="4"/>
        </w:rPr>
      </w:pPr>
    </w:p>
    <w:p w14:paraId="0C9D6AAD">
      <w:pPr>
        <w:rPr>
          <w:rFonts w:hint="eastAsia" w:ascii="仿宋" w:hAnsi="仿宋" w:cs="仿宋"/>
        </w:rPr>
      </w:pPr>
    </w:p>
    <w:p w14:paraId="37519902">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6646FB8E">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663F948A">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14:paraId="0D8D352F">
      <w:pPr>
        <w:rPr>
          <w:rFonts w:hint="eastAsia" w:ascii="仿宋" w:hAnsi="仿宋" w:cs="仿宋"/>
        </w:rPr>
      </w:pPr>
    </w:p>
    <w:p w14:paraId="69A56314">
      <w:pPr>
        <w:pStyle w:val="5"/>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9-4</w:t>
      </w:r>
      <w:r>
        <w:rPr>
          <w:rFonts w:hint="eastAsia" w:ascii="仿宋" w:hAnsi="仿宋" w:eastAsia="仿宋" w:cs="仿宋"/>
          <w:sz w:val="24"/>
        </w:rPr>
        <w:t xml:space="preserve">具有依法缴纳税收和社会保障资金的良好记录（提供开标前 </w:t>
      </w:r>
      <w:r>
        <w:rPr>
          <w:rFonts w:hint="eastAsia" w:ascii="仿宋" w:hAnsi="仿宋" w:eastAsia="仿宋" w:cs="仿宋"/>
          <w:sz w:val="24"/>
          <w:lang w:val="en-US" w:eastAsia="zh-CN"/>
        </w:rPr>
        <w:t>6</w:t>
      </w:r>
      <w:r>
        <w:rPr>
          <w:rFonts w:hint="eastAsia" w:ascii="仿宋" w:hAnsi="仿宋" w:eastAsia="仿宋" w:cs="仿宋"/>
          <w:sz w:val="24"/>
        </w:rPr>
        <w:t xml:space="preserve"> 个月内任一月份的社保和缴纳税收的证明)</w:t>
      </w:r>
    </w:p>
    <w:p w14:paraId="510B3C9C">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14:paraId="035EED12">
      <w:pPr>
        <w:rPr>
          <w:rFonts w:hint="eastAsia" w:ascii="仿宋" w:hAnsi="仿宋" w:cs="仿宋"/>
          <w:szCs w:val="32"/>
        </w:rPr>
      </w:pPr>
    </w:p>
    <w:p w14:paraId="0FE21960">
      <w:pPr>
        <w:rPr>
          <w:rFonts w:hint="eastAsia" w:ascii="仿宋" w:hAnsi="仿宋" w:cs="仿宋"/>
          <w:szCs w:val="32"/>
        </w:rPr>
      </w:pPr>
      <w:r>
        <w:rPr>
          <w:rFonts w:hint="eastAsia" w:ascii="仿宋" w:hAnsi="仿宋" w:cs="仿宋"/>
          <w:szCs w:val="32"/>
        </w:rPr>
        <w:t>说明：</w:t>
      </w:r>
    </w:p>
    <w:p w14:paraId="41377451">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w:t>
      </w:r>
      <w:r>
        <w:rPr>
          <w:rFonts w:hint="eastAsia" w:ascii="仿宋" w:hAnsi="仿宋" w:cs="仿宋"/>
          <w:szCs w:val="32"/>
          <w:lang w:val="en-US" w:eastAsia="zh-CN"/>
        </w:rPr>
        <w:t>6</w:t>
      </w:r>
      <w:r>
        <w:rPr>
          <w:rFonts w:hint="eastAsia" w:ascii="仿宋" w:hAnsi="仿宋" w:cs="仿宋"/>
          <w:szCs w:val="32"/>
        </w:rPr>
        <w:t>个月内任意1个月的社会保障资金缴纳记录复印件并加盖供应商单位公章，新开户的供应商提供社保开户证明，自行编写无效。</w:t>
      </w:r>
    </w:p>
    <w:p w14:paraId="2A5A67DF">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39" w:name="_Toc109543226"/>
      <w:bookmarkStart w:id="40" w:name="_Toc109542406"/>
      <w:r>
        <w:rPr>
          <w:rFonts w:hint="eastAsia" w:ascii="仿宋" w:hAnsi="仿宋" w:cs="仿宋"/>
          <w:szCs w:val="32"/>
        </w:rPr>
        <w:t>。</w:t>
      </w:r>
      <w:bookmarkEnd w:id="39"/>
      <w:bookmarkEnd w:id="40"/>
    </w:p>
    <w:p w14:paraId="6C35C8DC">
      <w:pPr>
        <w:rPr>
          <w:rFonts w:hint="eastAsia" w:ascii="仿宋" w:hAnsi="仿宋" w:cs="仿宋"/>
        </w:rPr>
      </w:pPr>
    </w:p>
    <w:p w14:paraId="1146E382">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14:paraId="4F3150FA">
      <w:pPr>
        <w:ind w:firstLine="480" w:firstLineChars="200"/>
        <w:jc w:val="center"/>
        <w:rPr>
          <w:rFonts w:hint="eastAsia" w:ascii="仿宋" w:hAnsi="仿宋" w:cs="仿宋"/>
          <w:szCs w:val="32"/>
        </w:rPr>
      </w:pPr>
    </w:p>
    <w:p w14:paraId="30361AF1">
      <w:pPr>
        <w:rPr>
          <w:rFonts w:hint="eastAsia" w:ascii="仿宋" w:hAnsi="仿宋" w:cs="仿宋"/>
          <w:szCs w:val="32"/>
        </w:rPr>
      </w:pPr>
      <w:r>
        <w:rPr>
          <w:rFonts w:hint="eastAsia" w:ascii="仿宋" w:hAnsi="仿宋" w:cs="仿宋"/>
          <w:szCs w:val="32"/>
        </w:rPr>
        <w:t>说明：</w:t>
      </w:r>
    </w:p>
    <w:p w14:paraId="040DC4E4">
      <w:pPr>
        <w:ind w:firstLine="480" w:firstLineChars="200"/>
        <w:rPr>
          <w:rFonts w:hint="eastAsia" w:ascii="仿宋" w:hAnsi="仿宋" w:cs="仿宋"/>
          <w:szCs w:val="32"/>
        </w:rPr>
      </w:pPr>
      <w:r>
        <w:rPr>
          <w:rFonts w:hint="eastAsia" w:ascii="仿宋" w:hAnsi="仿宋" w:cs="仿宋"/>
          <w:szCs w:val="32"/>
        </w:rPr>
        <w:t>1、供应商须提供磋商截止时间前</w:t>
      </w:r>
      <w:r>
        <w:rPr>
          <w:rFonts w:hint="eastAsia" w:ascii="仿宋" w:hAnsi="仿宋" w:cs="仿宋"/>
          <w:szCs w:val="32"/>
          <w:lang w:val="en-US" w:eastAsia="zh-CN"/>
        </w:rPr>
        <w:t>6</w:t>
      </w:r>
      <w:r>
        <w:rPr>
          <w:rFonts w:hint="eastAsia" w:ascii="仿宋" w:hAnsi="仿宋" w:cs="仿宋"/>
          <w:szCs w:val="32"/>
        </w:rPr>
        <w:t>个月内任意1个月的依法缴纳税收记录</w:t>
      </w:r>
      <w:r>
        <w:rPr>
          <w:rFonts w:hint="eastAsia" w:ascii="仿宋" w:hAnsi="仿宋" w:cs="仿宋"/>
          <w:szCs w:val="32"/>
          <w:lang w:eastAsia="zh-CN"/>
        </w:rPr>
        <w:t>（</w:t>
      </w:r>
      <w:r>
        <w:rPr>
          <w:rFonts w:hint="eastAsia" w:ascii="仿宋" w:hAnsi="仿宋" w:cs="仿宋"/>
          <w:lang w:eastAsia="zh-CN"/>
        </w:rPr>
        <w:t>税种须包含不同于社保税的其它税种，依法免税或无须缴纳税款的供应商，应提供相关证明文件</w:t>
      </w:r>
      <w:r>
        <w:rPr>
          <w:rFonts w:hint="eastAsia" w:ascii="仿宋" w:hAnsi="仿宋" w:cs="仿宋"/>
        </w:rPr>
        <w:t>)</w:t>
      </w:r>
      <w:r>
        <w:rPr>
          <w:rFonts w:hint="eastAsia" w:ascii="仿宋" w:hAnsi="仿宋" w:cs="仿宋"/>
          <w:szCs w:val="32"/>
        </w:rPr>
        <w:t>。</w:t>
      </w:r>
    </w:p>
    <w:p w14:paraId="3F8F6D3A">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14:paraId="19192EE0">
      <w:pPr>
        <w:rPr>
          <w:rFonts w:hint="eastAsia" w:ascii="仿宋" w:hAnsi="仿宋" w:cs="仿宋"/>
        </w:rPr>
      </w:pPr>
    </w:p>
    <w:p w14:paraId="1ADC043F">
      <w:pPr>
        <w:rPr>
          <w:rFonts w:hint="eastAsia" w:ascii="仿宋" w:hAnsi="仿宋" w:cs="仿宋"/>
          <w:szCs w:val="24"/>
        </w:rPr>
      </w:pPr>
    </w:p>
    <w:p w14:paraId="65D962FB">
      <w:pPr>
        <w:rPr>
          <w:rFonts w:hint="eastAsia" w:ascii="仿宋" w:hAnsi="仿宋" w:cs="仿宋"/>
          <w:szCs w:val="24"/>
        </w:rPr>
      </w:pPr>
    </w:p>
    <w:p w14:paraId="75C79E13">
      <w:pPr>
        <w:rPr>
          <w:rFonts w:hint="eastAsia" w:ascii="仿宋" w:hAnsi="仿宋" w:cs="仿宋"/>
          <w:szCs w:val="24"/>
        </w:rPr>
      </w:pPr>
    </w:p>
    <w:p w14:paraId="41EF831C">
      <w:pPr>
        <w:outlineLvl w:val="2"/>
        <w:rPr>
          <w:rFonts w:hint="eastAsia" w:ascii="仿宋" w:hAnsi="仿宋" w:cs="仿宋"/>
          <w:szCs w:val="24"/>
        </w:rPr>
      </w:pPr>
      <w:r>
        <w:rPr>
          <w:rFonts w:hint="eastAsia" w:ascii="仿宋" w:hAnsi="仿宋" w:cs="仿宋"/>
          <w:szCs w:val="24"/>
        </w:rPr>
        <w:br w:type="page"/>
      </w:r>
      <w:bookmarkStart w:id="41" w:name="_Toc19143"/>
      <w:bookmarkStart w:id="42" w:name="_Toc2140"/>
      <w:bookmarkStart w:id="43" w:name="_Toc28669"/>
      <w:bookmarkStart w:id="44" w:name="_Toc20233"/>
      <w:bookmarkStart w:id="45" w:name="_Toc26845"/>
      <w:bookmarkStart w:id="46" w:name="_Toc7403"/>
      <w:bookmarkStart w:id="47" w:name="_Toc28034"/>
      <w:bookmarkStart w:id="48" w:name="_Toc13583"/>
      <w:bookmarkStart w:id="49" w:name="_Toc14483"/>
      <w:bookmarkStart w:id="50" w:name="_Toc29806"/>
      <w:bookmarkStart w:id="51" w:name="_Toc4842"/>
      <w:bookmarkStart w:id="52" w:name="_Toc15791"/>
      <w:bookmarkStart w:id="53" w:name="_Toc30844"/>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仿宋" w:hAnsi="仿宋" w:eastAsia="仿宋" w:cs="仿宋"/>
          <w:b/>
          <w:bCs/>
          <w:color w:val="0D0D0D"/>
          <w:kern w:val="1"/>
          <w:sz w:val="24"/>
          <w:szCs w:val="24"/>
          <w:lang w:val="en-US" w:eastAsia="zh-CN"/>
        </w:rPr>
        <w:t>参加政府采购活动前三年内，在经营活动中没有重大违法记录（格式详见附件）</w:t>
      </w:r>
    </w:p>
    <w:p w14:paraId="1D500C8A">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采购人名称</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6E0B70C">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14:paraId="294C5155">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D28A985">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759F0138">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01A197B0">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3CB8F0C0">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14:paraId="4B8E619A">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2BA2AE06">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14:paraId="17365B18">
      <w:pPr>
        <w:pStyle w:val="10"/>
        <w:wordWrap w:val="0"/>
        <w:spacing w:before="0" w:beforeAutospacing="0" w:after="0" w:afterAutospacing="0"/>
        <w:jc w:val="both"/>
        <w:rPr>
          <w:rFonts w:hint="eastAsia" w:ascii="仿宋" w:hAnsi="仿宋" w:eastAsia="仿宋" w:cs="仿宋"/>
          <w:szCs w:val="24"/>
          <w:shd w:val="clear" w:color="auto" w:fill="FFFFFF"/>
        </w:rPr>
      </w:pPr>
    </w:p>
    <w:p w14:paraId="41827F12">
      <w:pPr>
        <w:pStyle w:val="10"/>
        <w:wordWrap w:val="0"/>
        <w:spacing w:before="0" w:beforeAutospacing="0" w:after="0" w:afterAutospacing="0"/>
        <w:jc w:val="both"/>
        <w:rPr>
          <w:rFonts w:hint="eastAsia" w:ascii="仿宋" w:hAnsi="仿宋" w:eastAsia="仿宋" w:cs="仿宋"/>
          <w:szCs w:val="24"/>
          <w:shd w:val="clear" w:color="auto" w:fill="FFFFFF"/>
        </w:rPr>
      </w:pPr>
    </w:p>
    <w:p w14:paraId="69832C75">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14:paraId="61A0B774">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14:paraId="35BC263D">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14:paraId="46001349">
      <w:pPr>
        <w:rPr>
          <w:rFonts w:hint="eastAsia" w:ascii="仿宋" w:hAnsi="仿宋" w:eastAsia="仿宋" w:cs="仿宋"/>
        </w:rPr>
      </w:pPr>
    </w:p>
    <w:p w14:paraId="039279EA">
      <w:pPr>
        <w:pStyle w:val="5"/>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54" w:name="_Toc23126"/>
      <w:bookmarkStart w:id="55" w:name="_Toc14908"/>
      <w:bookmarkStart w:id="56" w:name="_Toc1536"/>
      <w:bookmarkStart w:id="57" w:name="_Toc11164"/>
      <w:bookmarkStart w:id="58" w:name="_Toc23663"/>
      <w:bookmarkStart w:id="59" w:name="_Toc7290"/>
      <w:bookmarkStart w:id="60" w:name="_Toc27868"/>
      <w:bookmarkStart w:id="61" w:name="_Toc8420"/>
      <w:bookmarkStart w:id="62" w:name="_Toc22176"/>
      <w:bookmarkStart w:id="63" w:name="_Toc26030"/>
      <w:bookmarkStart w:id="64" w:name="_Toc28388"/>
      <w:bookmarkStart w:id="65" w:name="_Toc9399"/>
      <w:bookmarkStart w:id="66" w:name="_Toc24784"/>
      <w:r>
        <w:rPr>
          <w:rFonts w:hint="eastAsia" w:ascii="仿宋" w:hAnsi="仿宋" w:eastAsia="仿宋" w:cs="仿宋"/>
          <w:color w:val="0D0D0D"/>
          <w:kern w:val="1"/>
          <w:sz w:val="24"/>
          <w:lang w:val="en-US" w:eastAsia="zh-CN"/>
        </w:rPr>
        <w:t>9-6</w:t>
      </w:r>
      <w:bookmarkEnd w:id="54"/>
      <w:bookmarkEnd w:id="55"/>
      <w:bookmarkEnd w:id="56"/>
      <w:bookmarkEnd w:id="57"/>
      <w:bookmarkEnd w:id="58"/>
      <w:bookmarkEnd w:id="59"/>
      <w:bookmarkEnd w:id="60"/>
      <w:bookmarkEnd w:id="61"/>
      <w:bookmarkEnd w:id="62"/>
      <w:bookmarkEnd w:id="63"/>
      <w:bookmarkEnd w:id="64"/>
      <w:bookmarkEnd w:id="65"/>
      <w:bookmarkEnd w:id="66"/>
      <w:bookmarkStart w:id="67" w:name="_Toc17352"/>
      <w:r>
        <w:rPr>
          <w:rFonts w:hint="eastAsia" w:ascii="仿宋" w:hAnsi="仿宋" w:eastAsia="仿宋" w:cs="仿宋"/>
          <w:sz w:val="24"/>
          <w:szCs w:val="24"/>
        </w:rPr>
        <w:t>法定代表人授权委托书及被授权人身份证（法定代表人直接磋商，只须提交其身份证）</w:t>
      </w:r>
    </w:p>
    <w:p w14:paraId="133BCB5A">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14:paraId="388BC97F">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7C262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3CEAFB0B">
            <w:pPr>
              <w:rPr>
                <w:rFonts w:hint="eastAsia" w:ascii="仿宋" w:hAnsi="仿宋" w:cs="仿宋"/>
              </w:rPr>
            </w:pPr>
          </w:p>
          <w:p w14:paraId="15DBB87D">
            <w:pPr>
              <w:jc w:val="center"/>
              <w:rPr>
                <w:rFonts w:hint="eastAsia" w:ascii="仿宋" w:hAnsi="仿宋" w:cs="仿宋"/>
              </w:rPr>
            </w:pPr>
            <w:r>
              <w:rPr>
                <w:rFonts w:hint="eastAsia" w:ascii="仿宋" w:hAnsi="仿宋" w:cs="仿宋"/>
              </w:rPr>
              <w:t>法定代表人身份证复印件</w:t>
            </w:r>
          </w:p>
          <w:p w14:paraId="1EA5359F">
            <w:pPr>
              <w:jc w:val="center"/>
              <w:rPr>
                <w:rFonts w:hint="eastAsia" w:ascii="仿宋" w:hAnsi="仿宋" w:cs="仿宋"/>
              </w:rPr>
            </w:pPr>
          </w:p>
        </w:tc>
        <w:tc>
          <w:tcPr>
            <w:tcW w:w="3740" w:type="dxa"/>
            <w:tcBorders>
              <w:bottom w:val="dashed" w:color="auto" w:sz="4" w:space="0"/>
            </w:tcBorders>
            <w:noWrap w:val="0"/>
            <w:vAlign w:val="top"/>
          </w:tcPr>
          <w:p w14:paraId="769BA985">
            <w:pPr>
              <w:rPr>
                <w:rFonts w:hint="eastAsia" w:ascii="仿宋" w:hAnsi="仿宋" w:cs="仿宋"/>
              </w:rPr>
            </w:pPr>
          </w:p>
          <w:p w14:paraId="5D00BA06">
            <w:pPr>
              <w:jc w:val="center"/>
              <w:rPr>
                <w:rFonts w:hint="eastAsia" w:ascii="仿宋" w:hAnsi="仿宋" w:cs="仿宋"/>
              </w:rPr>
            </w:pPr>
            <w:r>
              <w:rPr>
                <w:rFonts w:hint="eastAsia" w:ascii="仿宋" w:hAnsi="仿宋" w:cs="仿宋"/>
              </w:rPr>
              <w:t>授权代表身份证复印件</w:t>
            </w:r>
          </w:p>
          <w:p w14:paraId="6DA72437">
            <w:pPr>
              <w:jc w:val="center"/>
              <w:rPr>
                <w:rFonts w:hint="eastAsia" w:ascii="仿宋" w:hAnsi="仿宋" w:cs="仿宋"/>
              </w:rPr>
            </w:pPr>
          </w:p>
        </w:tc>
      </w:tr>
      <w:tr w14:paraId="13093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7B98C9E0">
            <w:pPr>
              <w:jc w:val="center"/>
              <w:rPr>
                <w:rFonts w:hint="eastAsia" w:ascii="仿宋" w:hAnsi="仿宋" w:cs="仿宋"/>
              </w:rPr>
            </w:pPr>
          </w:p>
          <w:p w14:paraId="260692F7">
            <w:pPr>
              <w:jc w:val="center"/>
              <w:rPr>
                <w:rFonts w:hint="eastAsia" w:ascii="仿宋" w:hAnsi="仿宋" w:cs="仿宋"/>
              </w:rPr>
            </w:pPr>
            <w:r>
              <w:rPr>
                <w:rFonts w:hint="eastAsia" w:ascii="仿宋" w:hAnsi="仿宋" w:cs="仿宋"/>
              </w:rPr>
              <w:t>法定代表人身份证复印件</w:t>
            </w:r>
          </w:p>
          <w:p w14:paraId="01221A37">
            <w:pPr>
              <w:jc w:val="center"/>
              <w:rPr>
                <w:rFonts w:hint="eastAsia" w:ascii="仿宋" w:hAnsi="仿宋" w:cs="仿宋"/>
              </w:rPr>
            </w:pPr>
          </w:p>
        </w:tc>
        <w:tc>
          <w:tcPr>
            <w:tcW w:w="3740" w:type="dxa"/>
            <w:tcBorders>
              <w:top w:val="dashed" w:color="auto" w:sz="4" w:space="0"/>
            </w:tcBorders>
            <w:noWrap w:val="0"/>
            <w:vAlign w:val="top"/>
          </w:tcPr>
          <w:p w14:paraId="56B7335A">
            <w:pPr>
              <w:jc w:val="center"/>
              <w:rPr>
                <w:rFonts w:hint="eastAsia" w:ascii="仿宋" w:hAnsi="仿宋" w:cs="仿宋"/>
              </w:rPr>
            </w:pPr>
          </w:p>
          <w:p w14:paraId="23CF6A11">
            <w:pPr>
              <w:jc w:val="center"/>
              <w:rPr>
                <w:rFonts w:hint="eastAsia" w:ascii="仿宋" w:hAnsi="仿宋" w:cs="仿宋"/>
              </w:rPr>
            </w:pPr>
            <w:r>
              <w:rPr>
                <w:rFonts w:hint="eastAsia" w:ascii="仿宋" w:hAnsi="仿宋" w:cs="仿宋"/>
              </w:rPr>
              <w:t>授权代表身份证复印件</w:t>
            </w:r>
          </w:p>
          <w:p w14:paraId="5EE675A4">
            <w:pPr>
              <w:jc w:val="center"/>
              <w:rPr>
                <w:rFonts w:hint="eastAsia" w:ascii="仿宋" w:hAnsi="仿宋" w:cs="仿宋"/>
              </w:rPr>
            </w:pPr>
          </w:p>
        </w:tc>
      </w:tr>
    </w:tbl>
    <w:p w14:paraId="197E4926">
      <w:pPr>
        <w:rPr>
          <w:rFonts w:hint="eastAsia" w:ascii="仿宋" w:hAnsi="仿宋" w:cs="仿宋"/>
          <w:b/>
          <w:szCs w:val="24"/>
        </w:rPr>
      </w:pPr>
      <w:r>
        <w:rPr>
          <w:rFonts w:hint="eastAsia" w:ascii="仿宋" w:hAnsi="仿宋" w:cs="仿宋"/>
          <w:b/>
          <w:szCs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172D0C2E">
      <w:pPr>
        <w:pStyle w:val="3"/>
        <w:rPr>
          <w:rFonts w:hint="eastAsia"/>
        </w:rPr>
      </w:pPr>
    </w:p>
    <w:p w14:paraId="0EE3FBBB">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14:paraId="729EE3FC">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14:paraId="7DA89AF6">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14:paraId="46CD5E7F">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14:paraId="290A32D9">
      <w:pPr>
        <w:ind w:left="33"/>
        <w:outlineLvl w:val="2"/>
        <w:rPr>
          <w:rFonts w:hint="eastAsia" w:ascii="仿宋" w:hAnsi="仿宋" w:cs="仿宋"/>
        </w:rPr>
      </w:pPr>
      <w:bookmarkStart w:id="68" w:name="_Toc1080"/>
      <w:bookmarkStart w:id="69" w:name="_Toc27008"/>
      <w:r>
        <w:rPr>
          <w:rFonts w:hint="eastAsia" w:ascii="仿宋" w:hAnsi="仿宋" w:cs="仿宋"/>
        </w:rPr>
        <w:br w:type="page"/>
      </w:r>
      <w:bookmarkEnd w:id="67"/>
      <w:bookmarkEnd w:id="68"/>
      <w:bookmarkEnd w:id="69"/>
      <w:bookmarkStart w:id="70" w:name="_Toc13186"/>
      <w:bookmarkStart w:id="71" w:name="_Toc2879"/>
      <w:r>
        <w:rPr>
          <w:rFonts w:hint="eastAsia" w:ascii="仿宋" w:hAnsi="仿宋" w:cs="仿宋"/>
          <w:b/>
          <w:bCs/>
          <w:lang w:val="en-US" w:eastAsia="zh-CN"/>
        </w:rPr>
        <w:t>9-7</w:t>
      </w:r>
      <w:bookmarkStart w:id="72" w:name="_GoBack"/>
      <w:bookmarkEnd w:id="72"/>
      <w:r>
        <w:rPr>
          <w:rFonts w:hint="eastAsia" w:ascii="仿宋" w:hAnsi="仿宋" w:cs="仿宋"/>
          <w:b/>
          <w:bCs/>
        </w:rPr>
        <w:t>本项目不允许联合体磋商</w:t>
      </w:r>
      <w:bookmarkEnd w:id="70"/>
      <w:bookmarkEnd w:id="71"/>
    </w:p>
    <w:p w14:paraId="3C954078">
      <w:pPr>
        <w:rPr>
          <w:rFonts w:hint="eastAsia" w:ascii="仿宋" w:hAnsi="仿宋" w:cs="仿宋"/>
        </w:rPr>
      </w:pPr>
    </w:p>
    <w:p w14:paraId="60F379BF">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lang w:val="en-US" w:eastAsia="zh-CN"/>
        </w:rPr>
        <w:t>采购人名称</w:t>
      </w: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rPr>
        <w:t>：</w:t>
      </w:r>
    </w:p>
    <w:p w14:paraId="7400D689">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14:paraId="476F2BC0">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14:paraId="09C8AE39">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14:paraId="51B12CB8">
      <w:pPr>
        <w:pStyle w:val="10"/>
        <w:wordWrap w:val="0"/>
        <w:spacing w:before="0" w:beforeAutospacing="0" w:after="0" w:afterAutospacing="0"/>
        <w:ind w:firstLine="420"/>
        <w:rPr>
          <w:rFonts w:ascii="仿宋" w:hAnsi="仿宋" w:eastAsia="仿宋" w:cs="仿宋_GB2312"/>
          <w:shd w:val="clear" w:color="auto" w:fill="FFFFFF"/>
        </w:rPr>
      </w:pPr>
    </w:p>
    <w:p w14:paraId="4A51E406">
      <w:pPr>
        <w:pStyle w:val="10"/>
        <w:wordWrap w:val="0"/>
        <w:spacing w:before="0" w:beforeAutospacing="0" w:after="0" w:afterAutospacing="0"/>
        <w:ind w:firstLine="420"/>
        <w:rPr>
          <w:rFonts w:ascii="仿宋" w:hAnsi="仿宋" w:eastAsia="仿宋" w:cs="仿宋_GB2312"/>
          <w:shd w:val="clear" w:color="auto" w:fill="FFFFFF"/>
        </w:rPr>
      </w:pPr>
    </w:p>
    <w:p w14:paraId="77A0B254">
      <w:pPr>
        <w:pStyle w:val="3"/>
        <w:rPr>
          <w:rFonts w:hint="eastAsia" w:ascii="仿宋" w:hAnsi="仿宋" w:eastAsia="仿宋" w:cs="仿宋"/>
        </w:rPr>
      </w:pPr>
    </w:p>
    <w:p w14:paraId="0AEC5791">
      <w:pPr>
        <w:rPr>
          <w:rFonts w:hint="eastAsia" w:ascii="仿宋" w:hAnsi="仿宋" w:cs="仿宋"/>
        </w:rPr>
      </w:pPr>
    </w:p>
    <w:p w14:paraId="6200B0AC">
      <w:pPr>
        <w:pStyle w:val="3"/>
        <w:rPr>
          <w:rFonts w:hint="eastAsia" w:ascii="仿宋" w:hAnsi="仿宋" w:eastAsia="仿宋" w:cs="仿宋"/>
        </w:rPr>
      </w:pPr>
    </w:p>
    <w:p w14:paraId="2CE3C1C5">
      <w:pPr>
        <w:rPr>
          <w:rFonts w:hint="eastAsia" w:ascii="仿宋" w:hAnsi="仿宋" w:cs="仿宋"/>
        </w:rPr>
      </w:pPr>
    </w:p>
    <w:p w14:paraId="271EB11F">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46E1E3CF">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5746735B">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zMTM5YTY3ZmZkZDY3YTAwYTJhNGU2MDJkYmFlYjUifQ=="/>
  </w:docVars>
  <w:rsids>
    <w:rsidRoot w:val="28E379B7"/>
    <w:rsid w:val="00450554"/>
    <w:rsid w:val="1F897A86"/>
    <w:rsid w:val="28AA12F0"/>
    <w:rsid w:val="28E379B7"/>
    <w:rsid w:val="2A5D0077"/>
    <w:rsid w:val="2AE06837"/>
    <w:rsid w:val="30782FDA"/>
    <w:rsid w:val="38306061"/>
    <w:rsid w:val="464467D7"/>
    <w:rsid w:val="6E682A8F"/>
    <w:rsid w:val="7F212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Indent"/>
    <w:basedOn w:val="1"/>
    <w:next w:val="9"/>
    <w:autoRedefine/>
    <w:qFormat/>
    <w:uiPriority w:val="0"/>
    <w:pPr>
      <w:ind w:left="455" w:leftChars="30" w:hanging="425" w:hangingChars="425"/>
    </w:pPr>
    <w:rPr>
      <w:rFonts w:ascii="宋体" w:hAnsi="Times New Roman" w:eastAsia="宋体" w:cs="Times New Roman"/>
      <w:sz w:val="24"/>
    </w:rPr>
  </w:style>
  <w:style w:type="paragraph" w:styleId="9">
    <w:name w:val="envelope return"/>
    <w:basedOn w:val="1"/>
    <w:autoRedefine/>
    <w:qFormat/>
    <w:uiPriority w:val="99"/>
    <w:pPr>
      <w:snapToGrid w:val="0"/>
    </w:pPr>
    <w:rPr>
      <w:rFonts w:ascii="Arial" w:hAnsi="Arial" w:cs="Arial"/>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3"/>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8"/>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2552</Words>
  <Characters>2602</Characters>
  <Lines>0</Lines>
  <Paragraphs>0</Paragraphs>
  <TotalTime>1</TotalTime>
  <ScaleCrop>false</ScaleCrop>
  <LinksUpToDate>false</LinksUpToDate>
  <CharactersWithSpaces>3274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沈肖楠</cp:lastModifiedBy>
  <dcterms:modified xsi:type="dcterms:W3CDTF">2025-06-27T04:17:46Z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CE5EC91810A149C58095A7A56480B9C3_11</vt:lpwstr>
  </property>
  <property fmtid="{D5CDD505-2E9C-101B-9397-08002B2CF9AE}" pid="4" name="KSOTemplateDocerSaveRecord">
    <vt:lpwstr>eyJoZGlkIjoiZThmMzYxMmRiNjE2Y2Y0NGIzMTY3NmFiYWI0ZWZmNGIiLCJ1c2VySWQiOiI1MTY0MDE0OTcifQ==</vt:lpwstr>
  </property>
</Properties>
</file>