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版本号：SXJK-2025-04620250719001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西曹村回迁安置选房采购项目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SXJK-2025-046</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陕西健坤工程造价咨询有限公司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陕西健坤工程造价咨询有限公司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西曹村回迁安置选房采购项目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SXJK-2025-046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西曹村回迁安置选房采购项目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对西曹村进行回迁安置选房服务，涉及约835户村民，具体以实际户数为准。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采购包1（西曹村回迁安置选房采购项目）：属于专门面向中小企业采购。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在本项目磋商响应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提供2024年度经审计的完整财务报告（成立时间至提交投标文件递交截止时间不足一年的可提供成立后任意时段的资产负债表），或其银行基本账户出具的资信证明（资信证明需提供投标截止时间前6个月内），投标人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投标人因违法经营受到刑事处罚或者责令停产停业、吊销许可证或者执照、较大数额罚款等行政处罚：参加政府采购活动前3年内在经营活动中没有重大违法记录的书面声明，投标人需在项目电子化交易系统中按要求上传相应证明文件并进行电子签章）格式详见后附投标人书面声明函</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投标人需在项目电子化交易系统中按要求上传相应证明文件并进行电子签章）格式详见后附投标人书面声明函</w:t>
      </w:r>
    </w:p>
    <w:p>
      <w:pPr>
        <w:pStyle w:val="null3"/>
      </w:pPr>
      <w:r>
        <w:rPr>
          <w:rFonts w:ascii="仿宋_GB2312" w:hAnsi="仿宋_GB2312" w:cs="仿宋_GB2312" w:eastAsia="仿宋_GB2312"/>
        </w:rPr>
        <w:t>6、合法授权：投标人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rFonts w:ascii="仿宋_GB2312" w:hAnsi="仿宋_GB2312" w:cs="仿宋_GB2312" w:eastAsia="仿宋_GB2312"/>
        </w:rPr>
        <w:t>7、不得为“信用中国”网站（www.cre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8、中小企业：本项目专门面向中小企业采购，投标人须提供中小企业声明函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85640619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陕西健坤工程造价咨询有限公司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西安市高新区逸翠园i都会4号楼一单元1024室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029-81145815/13092972064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采购包1：3,258,200.00元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代理服务费收费标准：参照国家发改委发改价格[20111534号文件和国家计委计价格[2002]1980号文件计算标准费用计取。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陕西健坤工程造价咨询有限公司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陕西健坤工程造价咨询有限公司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陕西健坤工程造价咨询有限公司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达到国家及行业相关标准，并满足招标文件要求。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联系人：刘工、张工</w:t>
      </w:r>
    </w:p>
    <w:p>
      <w:pPr>
        <w:pStyle w:val="null3"/>
      </w:pPr>
      <w:r>
        <w:rPr>
          <w:rFonts w:ascii="仿宋_GB2312" w:hAnsi="仿宋_GB2312" w:cs="仿宋_GB2312" w:eastAsia="仿宋_GB2312"/>
        </w:rPr>
        <w:t>联系电话：029-81145815/13092972064</w:t>
      </w:r>
    </w:p>
    <w:p>
      <w:pPr>
        <w:pStyle w:val="null3"/>
      </w:pPr>
      <w:r>
        <w:rPr>
          <w:rFonts w:ascii="仿宋_GB2312" w:hAnsi="仿宋_GB2312" w:cs="仿宋_GB2312" w:eastAsia="仿宋_GB2312"/>
        </w:rPr>
        <w:t>地址：西安市高新区逸翠园i都会4号楼一单元1024室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对西曹村进行回迁安置选房，涉及约835户村民，具体以实际安置户数为准。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3,258,200.00</w:t>
      </w:r>
    </w:p>
    <w:p>
      <w:pPr>
        <w:pStyle w:val="null3"/>
      </w:pPr>
      <w:r>
        <w:rPr>
          <w:rFonts w:ascii="仿宋_GB2312" w:hAnsi="仿宋_GB2312" w:cs="仿宋_GB2312" w:eastAsia="仿宋_GB2312"/>
        </w:rPr>
        <w:t>采购包最高限价（元）: 3,258,200.00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西曹村回迁安置选房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3,258,200.00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标的名称：西曹村回迁安置选房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对西曹村进行回迁安置选房服务，安置村民835户( 包含但不限于场地选择、宣传、策划、组织、实施等全部服务内容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具体服务内容 (1) 定点宣传:由供应商租赁选房场地并在选房场地布置宣传(广告展板、横幅等)。(2) 选房策划组织并实施: 制定选房方案、策划、组织并现场具体实施、场地、选房现场办公家具、办公用品、 选房现场内外规划布置、人员组织安排、摇号选房、现场秩序、现场影像、安排进行公证、档案资料，选房现场工作人员餐饮安排等。（3）做好消防、安保及秩序维持工作，做好各项应急工作，完成甲方临时交办的其他相关事务，保障回迁安置选房活动顺利进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选房完成后由甲方对实际选房户数进行确认，以供应商的成交金额除以835户确定单户价格，根据甲方确认的选房户数进 行据实结算。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合同签订后自乙方收到甲方启动通知之日起计算，直至西曹村全部回迁完毕。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1.甲方确认收到所有工作成果后，乙方向甲方提出验收申请，甲方接到乙方验收申请后组织验收。达到国家及行业相关标准，并满足招标文件要求。2.验收依据： （1）合同文本、合同附件、招标文件、投标文件。 （2）国内相应的标准、规范。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待西曹村回迁选房工作完成后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待西曹村回迁工作整体完毕后，资料、视频后期工作完成后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1.双方均应认真履行本合同，由于任何一方的过错使本合同不能履行、不能完全履行、延迟履行或者履行不符合约定条件的，由过错方承担责任，如属双方过错，则根据各自过错大小，分别承担相应的责任。 任何一方违背本合同约定，违约方除承担违约责任、赔偿对方损失（包含但不限于项目本身损失费、律师费、诉讼费、保全费、鉴定费、差旅费等）、承担本合同约定的相应违约金外，还应按本合同明示的合同总价的5%向对方支付违约金。 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 3.乙方每出现有效投诉（投诉认定为乙方全责）1次，扣除已结算总金额的1% 4.由于服务质量、服务态度或其他原因给甲方造成负面影响则酌情扣除已结算总金额的1—5% 5.由于乙方原因导致在本合同约定的服务期内不能完成任务的，每延误1天，应按合同总价款的2‰向甲方支付违约金，延误超过7日历天的，甲方有权单方解除本合同，乙方应向甲方支付合同总价10%的违约金。 6.因乙方工作不能达到合同约定或甲方提出的要求，甲方提出意见，乙方不能按时、按质整改的，甲方有权解除合同，乙方应向甲方支付合同总价10%的违约金。 7.合同一方违约的，双方应积极采取适当措施阻止损失扩大，否则不得就扩大部分的损失要求赔偿；违约方应当承担对方为阻止损失扩大而支付的合理费用。 8.政府政策重大变化、不可抗力以及其他无法归究于双方的原因造成的损失，依照有关法规和公平原则双方协商解决。 9.乙方违反保密义务给甲方造成损失的，赔偿甲方因此造成的全部损失。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一、需要落实的政府采购政策： （1）《政府采购促进中小企业发展管理办法》（财库〔2020〕46号）； （2）《财政 部司法部关于政府采购支持监狱企业发展有关问题的通知》（财库〔2014〕68 号）； （3）《国务院办公厅关于建立政府 强制采购节能产品制度的通知》（国发办〔2007〕51号）； （4）《三部门联合发布关于促进残疾人就业政府采购政策的通 知》（财库〔2017〕141号）； （5）《财政部发展改革委生态环境部市场监管总局关于调整优化节能产品、环境标志产品 政府采购执行机制的通知》（财库〔2019〕9号）； （6）陕西省财政厅关于印发《陕西省中小企业政府采购信用融资办 法》（陕财办采〔2018〕23号）； （7）《财政部农业农村部国家乡村振兴局关于运用政府采购政策支持乡村产业振兴的通 知》（财库〔2021〕19号）； （8）《财政部农业农村部国家 乡村振兴局 中华全国供销合作总社关于印发&lt;关于深入开展 政府采购脱贫地区农副产品工作推进乡村产业振兴的实施意见&gt;的通知》（财库〔2021〕20 号）； （9）《陕西省财政厅关 于进一步加强政府绿色采购有关问题的通知》（陕财办采〔2021〕29 号）； （10）《财政部关于在政府采购活动中落实平 等对待内外资企业有关政策的通知》（财 库〔2021〕35 号）； （11）陕西省财政厅《关于加快推进我省中小企业政府采购 信用融资工作的通知》（陕财办采〔2020〕15 号）； （12）《关于进一步加大政府采购支持中小企业力度的通知》（财库 〔2022〕19号）； （13）如有最新颁布的政府采购政策，按最新的文件执行。 二、供应商务必在开标截止时间30分钟前， 通过项目电子化交易系统进行签到，如未进行签到，产生的一起后果由供应商自行承担。三、报价说明：报价包含全部成本、 利润、税金和风险。 特别提示！！！！！ 四、本项目中标单位在本项目中标公告发布之日起3个工作日内，线下提交投标文 件正本一份、副本两份、电子版一份。线下递交文件地点：西安市高新区逸翠园i都会4号楼一单元1024室。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在本项目磋商响应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递交截止时间不足一年的可提供成立后任意时段的资产负债表），或其银行基本账户出具的资信证明（资信证明需提供投标截止时间前6个月内），投标人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参加政府采购活动前3年内在经营活动中没有重大违法记录的书面声明；其中：重大违法记录是指投标人因违法经营受到刑事处罚或者责令停产停业、吊销许可证或者执照、较大数额罚款等行政处罚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参加政府采购活动前3年内在经营活动中没有重大违法记录的书面声明，投标人需在项目电子化交易系统中按要求上传相应证明文件并进行电子签章）格式详见后附投标人书面声明函</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具有履行合同所必需的设备和专业技术能力书面声明函，投标人需在项目电子化交易系统中按要求上传相应证明文件并进行电子签章）格式详见后附投标人书面声明函</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3322"/>
          </w:tcPr>
          <w:p>
            <w:pPr>
              <w:pStyle w:val="null3"/>
            </w:pPr>
            <w:r>
              <w:rPr>
                <w:rFonts w:ascii="仿宋_GB2312" w:hAnsi="仿宋_GB2312" w:cs="仿宋_GB2312" w:eastAsia="仿宋_GB2312"/>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相关资格证明资料.docx 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相关资格证明资料.docx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开标一览表 服务内容及服务邀请应答表 中小企业声明函 授权委托书.docx 商务应答表 相关资格证明资料.docx 法定代表人（单位负责人自然人）身份证明.docx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报价唯一，投标报价没有超过采购预算。</w:t>
            </w:r>
          </w:p>
        </w:tc>
        <w:tc>
          <w:tcPr>
            <w:tcW w:type="dxa" w:w="1661"/>
          </w:tcPr>
          <w:p>
            <w:pPr>
              <w:pStyle w:val="null3"/>
            </w:pPr>
            <w:r>
              <w:rPr>
                <w:rFonts w:ascii="仿宋_GB2312" w:hAnsi="仿宋_GB2312" w:cs="仿宋_GB2312" w:eastAsia="仿宋_GB2312"/>
              </w:rPr>
              <w:t>开标一览表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策划、流程组织方案</w:t>
            </w:r>
          </w:p>
        </w:tc>
        <w:tc>
          <w:tcPr>
            <w:tcW w:type="dxa" w:w="2492"/>
          </w:tcPr>
          <w:p>
            <w:pPr>
              <w:pStyle w:val="null3"/>
            </w:pPr>
            <w:r>
              <w:rPr>
                <w:rFonts w:ascii="仿宋_GB2312" w:hAnsi="仿宋_GB2312" w:cs="仿宋_GB2312" w:eastAsia="仿宋_GB2312"/>
              </w:rPr>
              <w:t>提供回迁房选房策划、流程组织方案，方案专门针对本项目编制，全面、合理、可行性强得（6-8分］；方案专门针对本项目编制，较全面、较合理、可行性较强得（3-6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分房现场规划布置、现场组织方案</w:t>
            </w:r>
          </w:p>
        </w:tc>
        <w:tc>
          <w:tcPr>
            <w:tcW w:type="dxa" w:w="2492"/>
          </w:tcPr>
          <w:p>
            <w:pPr>
              <w:pStyle w:val="null3"/>
            </w:pPr>
            <w:r>
              <w:rPr>
                <w:rFonts w:ascii="仿宋_GB2312" w:hAnsi="仿宋_GB2312" w:cs="仿宋_GB2312" w:eastAsia="仿宋_GB2312"/>
              </w:rPr>
              <w:t>选房现场规划布置合理、现场组织有序，内容详细合理，可行性强，能保证选房工作顺利进行得（5-8分］；选房现场规划布置较为合理、现场组织比较有序，内容相对合理，可行性较强，能保证选房工作基本顺利进行得（3-5分］； 选房现场规划布置不合理、现场组织无序，内容不合理，可行性差，不能保证选房工作顺利进行得（0-3分］。 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服务进度保障方案</w:t>
            </w:r>
          </w:p>
        </w:tc>
        <w:tc>
          <w:tcPr>
            <w:tcW w:type="dxa" w:w="2492"/>
          </w:tcPr>
          <w:p>
            <w:pPr>
              <w:pStyle w:val="null3"/>
            </w:pPr>
            <w:r>
              <w:rPr>
                <w:rFonts w:ascii="仿宋_GB2312" w:hAnsi="仿宋_GB2312" w:cs="仿宋_GB2312" w:eastAsia="仿宋_GB2312"/>
              </w:rPr>
              <w:t>提供服务进度保障方案，方案专门针对本项目编制，全面、合理、可行性强（5-7分］；方案专门针对本项目编制，较全面、较合理、可行性较强得（3-5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活动物料及场地保障措施</w:t>
            </w:r>
          </w:p>
        </w:tc>
        <w:tc>
          <w:tcPr>
            <w:tcW w:type="dxa" w:w="2492"/>
          </w:tcPr>
          <w:p>
            <w:pPr>
              <w:pStyle w:val="null3"/>
            </w:pPr>
            <w:r>
              <w:rPr>
                <w:rFonts w:ascii="仿宋_GB2312" w:hAnsi="仿宋_GB2312" w:cs="仿宋_GB2312" w:eastAsia="仿宋_GB2312"/>
              </w:rPr>
              <w:t>提供活动物料及场地保障措施（包括但不限于物料及场地投入保障措施、秩序及安全保障措施、软件及公信力保障措施等），保障措施内容完善、全面，有详细的服务内容阐述并贴合项目的实际情况，具体实施细节及措施合理性和可行性强的得（4-6分］； 内有详细的内容阐述并贴合项目的实际情况，具体的实施细节及措施有一定的合理性和可行性的得（2-4分］； 内容进行了阐述，部分贴合项目实际情况，具体实施细节及措施为完善的得（0-2分］；未提供或明显不合理的不得分。备注：“（”不包含本数；“］”包含本数。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人员机构</w:t>
            </w:r>
          </w:p>
        </w:tc>
        <w:tc>
          <w:tcPr>
            <w:tcW w:type="dxa" w:w="2492"/>
          </w:tcPr>
          <w:p>
            <w:pPr>
              <w:pStyle w:val="null3"/>
            </w:pPr>
            <w:r>
              <w:rPr>
                <w:rFonts w:ascii="仿宋_GB2312" w:hAnsi="仿宋_GB2312" w:cs="仿宋_GB2312" w:eastAsia="仿宋_GB2312"/>
              </w:rPr>
              <w:t>拟投入的人员机构设置科学、规范，人员配备数量充足、职责明确、分工清晰合理得（6-8分］；拟投入的人员机构设置较科学、规范，人员配备数量较充足、职责较明确、分工较清晰合理得（3-6分］；拟投入的人员机构设置一般，人员配备数量较少、职责、分工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定点宣传方案</w:t>
            </w:r>
          </w:p>
        </w:tc>
        <w:tc>
          <w:tcPr>
            <w:tcW w:type="dxa" w:w="2492"/>
          </w:tcPr>
          <w:p>
            <w:pPr>
              <w:pStyle w:val="null3"/>
            </w:pPr>
            <w:r>
              <w:rPr>
                <w:rFonts w:ascii="仿宋_GB2312" w:hAnsi="仿宋_GB2312" w:cs="仿宋_GB2312" w:eastAsia="仿宋_GB2312"/>
              </w:rPr>
              <w:t>提供针对本项目的定点宣传方案，方案专门针对本项目编制，全面、合理、可行性强得（6-8分］；方案专门针对本项目编制，较全面、较合理、可行性较强得（3-6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资料的收集、整理、存档、保存方案</w:t>
            </w:r>
          </w:p>
        </w:tc>
        <w:tc>
          <w:tcPr>
            <w:tcW w:type="dxa" w:w="2492"/>
          </w:tcPr>
          <w:p>
            <w:pPr>
              <w:pStyle w:val="null3"/>
            </w:pPr>
            <w:r>
              <w:rPr>
                <w:rFonts w:ascii="仿宋_GB2312" w:hAnsi="仿宋_GB2312" w:cs="仿宋_GB2312" w:eastAsia="仿宋_GB2312"/>
              </w:rPr>
              <w:t>提供过程资料的收集、整理、存档、保存方案，方案专门针对本项目编制，全面、合理、可行性强得（6-8分］；方案专门针对本项目编制，较全面、较合理、可行性较强得（3-6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提供突发情况的应急处理方案，方案专门针对本项目编制，全面、合理、可行性强得（5-7分］；方案专门针对本项目编制，较全面、较合理、可行性较强得（3-5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摇号选房方案</w:t>
            </w:r>
          </w:p>
        </w:tc>
        <w:tc>
          <w:tcPr>
            <w:tcW w:type="dxa" w:w="2492"/>
          </w:tcPr>
          <w:p>
            <w:pPr>
              <w:pStyle w:val="null3"/>
            </w:pPr>
            <w:r>
              <w:rPr>
                <w:rFonts w:ascii="仿宋_GB2312" w:hAnsi="仿宋_GB2312" w:cs="仿宋_GB2312" w:eastAsia="仿宋_GB2312"/>
              </w:rPr>
              <w:t>提供选房现场摇号选房方案，方案专门针对本项目编制，全面、合理、可行性强得（5-7分］；方案专门针对本项目编制，较全面、较合理、可行性较强得（3-5分］；方案针对本项目编制，全面性、合理性、可行性均一般得（0-3分］；未提供或明显不合理的不得分。备注：“（”不包含本数；“］”包含本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现场秩序及安全保障措施</w:t>
            </w:r>
          </w:p>
        </w:tc>
        <w:tc>
          <w:tcPr>
            <w:tcW w:type="dxa" w:w="2492"/>
          </w:tcPr>
          <w:p>
            <w:pPr>
              <w:pStyle w:val="null3"/>
            </w:pPr>
            <w:r>
              <w:rPr>
                <w:rFonts w:ascii="仿宋_GB2312" w:hAnsi="仿宋_GB2312" w:cs="仿宋_GB2312" w:eastAsia="仿宋_GB2312"/>
              </w:rPr>
              <w:t>现场秩序及安全保障措施（包括但不限于现场秩序良好选房活动有序开展，不发生安全事故），保障措施内容完善、全面，有详细的服务内容阐述并贴合项目的实际情况，具体实施细节及措施合理性和可行性强的得（6-8分］； 内有详细的内容阐述并贴合项目的实际情况，具体的实施细节及措施有一定的合理性和可行性的得（3-6分］； 内容进行了阐述，部分贴合项目实际情况，具体实施细节及措施为完善的得（0-3分］；未提供或明显不合理的不得分。备注：“（”不包含本数；“］”包含本数。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理解程度以及重点、难点分析：根据内容完整，描述清晰，且能针对性满足项目得（3,5]分；内容较完整，描述简单，可行性一般，基本满足项目得（1,3]分；内容笼统，描述简单，可行性不强得[0,1]分“（”不包含本数；“］”包含本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根据内容完整，描述清晰，且能针对性满足项目得（3,5]分；内容较完整，描述简单，可行性一般，基本满足项目得（1,3]分；内容笼统，描述简单，可行性不强得[0,1]分。备注：“（”不包含本数；“］”包含本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供应商须提供类似项目的业绩合同（2022年7月至今，以合同签订时间为准），每提供一份得2.5分，满分5分。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参与详细评审且价格最低的投标报价作为评标基准价，其价格分为10分。其他供应商的价格分按照下列公式计算：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详见附件：法定代表人（单位负责人自然人）身份证明.docx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详见附件：合同模板-西曹.docx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