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BD0F8">
      <w:pPr>
        <w:pStyle w:val="3"/>
        <w:keepNext w:val="0"/>
        <w:keepLines w:val="0"/>
        <w:pageBreakBefore/>
        <w:jc w:val="center"/>
        <w:rPr>
          <w:color w:val="auto"/>
          <w:highlight w:val="none"/>
        </w:rPr>
      </w:pPr>
      <w:bookmarkStart w:id="1" w:name="_GoBack"/>
      <w:bookmarkStart w:id="0" w:name="_Toc17151"/>
      <w:r>
        <w:rPr>
          <w:rStyle w:val="17"/>
          <w:rFonts w:hint="eastAsia" w:ascii="仿宋" w:hAnsi="仿宋" w:eastAsia="仿宋" w:cs="仿宋"/>
          <w:b/>
          <w:color w:val="auto"/>
          <w:szCs w:val="21"/>
          <w:highlight w:val="none"/>
          <w:lang w:val="en-US"/>
        </w:rPr>
        <w:t>应急预案措施</w:t>
      </w:r>
      <w:bookmarkEnd w:id="0"/>
    </w:p>
    <w:bookmarkEnd w:id="1"/>
    <w:p w14:paraId="389D093F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27544493"/>
    <w:rsid w:val="2C0370C5"/>
    <w:rsid w:val="2E984B00"/>
    <w:rsid w:val="3CB75A2A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EEA60A734CCB4260926B65890A5E2CC9_13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