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9FC0B">
      <w:pPr>
        <w:keepNext w:val="0"/>
        <w:keepLines w:val="0"/>
        <w:pageBreakBefore w:val="0"/>
        <w:kinsoku/>
        <w:wordWrap/>
        <w:overflowPunct/>
        <w:topLinePunct w:val="0"/>
        <w:autoSpaceDE/>
        <w:autoSpaceDN/>
        <w:bidi w:val="0"/>
        <w:adjustRightInd/>
        <w:snapToGrid/>
        <w:spacing w:before="64" w:line="360" w:lineRule="auto"/>
        <w:jc w:val="center"/>
        <w:textAlignment w:val="auto"/>
        <w:outlineLvl w:val="1"/>
        <w:rPr>
          <w:rFonts w:hint="eastAsia" w:ascii="仿宋" w:hAnsi="仿宋" w:eastAsia="仿宋" w:cs="仿宋"/>
          <w:b/>
          <w:bCs/>
          <w:spacing w:val="6"/>
          <w:sz w:val="31"/>
          <w:szCs w:val="31"/>
          <w:highlight w:val="none"/>
        </w:rPr>
      </w:pPr>
      <w:r>
        <w:rPr>
          <w:rFonts w:hint="eastAsia" w:ascii="仿宋" w:hAnsi="仿宋" w:eastAsia="仿宋" w:cs="仿宋"/>
          <w:b/>
          <w:bCs/>
          <w:spacing w:val="6"/>
          <w:sz w:val="31"/>
          <w:szCs w:val="31"/>
          <w:highlight w:val="none"/>
        </w:rPr>
        <w:t>供应商资格证明文件</w:t>
      </w:r>
    </w:p>
    <w:p w14:paraId="5C4EF44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1、政府采购法第二十二条规定 ：供应商须提供符合《中华人民共和国政府采购法》第二十二条的规定的资格承诺函。</w:t>
      </w:r>
    </w:p>
    <w:p w14:paraId="2477F0DA">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6C5B3686">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2279B199">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4、特定资格：1.供应商须具备建筑工程施工总承包三级及以上或建筑装修装饰工程专业承包二级及以上资质，具有合格有效的安全生产许可证；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14:paraId="14256040">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5、本项目不接受联合体投标。</w:t>
      </w:r>
    </w:p>
    <w:p w14:paraId="04EA5B61">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highlight w:val="none"/>
        </w:rPr>
        <w:sectPr>
          <w:headerReference r:id="rId3" w:type="default"/>
          <w:footerReference r:id="rId4" w:type="default"/>
          <w:pgSz w:w="11900" w:h="16838"/>
          <w:pgMar w:top="1440" w:right="1803" w:bottom="1440" w:left="1803" w:header="0" w:footer="1134" w:gutter="0"/>
          <w:pgNumType w:fmt="decimal"/>
          <w:cols w:space="0" w:num="1"/>
          <w:rtlGutter w:val="0"/>
          <w:docGrid w:linePitch="0" w:charSpace="0"/>
        </w:sectPr>
      </w:pPr>
    </w:p>
    <w:p w14:paraId="337C90AB">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64B9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0D57B03C">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0"/>
            <w:vAlign w:val="center"/>
          </w:tcPr>
          <w:p w14:paraId="48DD44AB">
            <w:pPr>
              <w:topLinePunct/>
              <w:spacing w:line="360" w:lineRule="auto"/>
              <w:jc w:val="center"/>
              <w:rPr>
                <w:rFonts w:hint="eastAsia" w:ascii="仿宋" w:hAnsi="仿宋" w:eastAsia="仿宋" w:cs="仿宋"/>
                <w:sz w:val="24"/>
                <w:szCs w:val="24"/>
                <w:highlight w:val="none"/>
              </w:rPr>
            </w:pPr>
          </w:p>
        </w:tc>
        <w:tc>
          <w:tcPr>
            <w:tcW w:w="1620" w:type="dxa"/>
            <w:noWrap w:val="0"/>
            <w:vAlign w:val="center"/>
          </w:tcPr>
          <w:p w14:paraId="3955F845">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0"/>
            <w:vAlign w:val="center"/>
          </w:tcPr>
          <w:p w14:paraId="684719CD">
            <w:pPr>
              <w:topLinePunct/>
              <w:spacing w:line="360" w:lineRule="auto"/>
              <w:jc w:val="center"/>
              <w:rPr>
                <w:rFonts w:hint="eastAsia" w:ascii="仿宋" w:hAnsi="仿宋" w:eastAsia="仿宋" w:cs="仿宋"/>
                <w:sz w:val="24"/>
                <w:szCs w:val="24"/>
                <w:highlight w:val="none"/>
              </w:rPr>
            </w:pPr>
          </w:p>
        </w:tc>
      </w:tr>
      <w:tr w14:paraId="09F67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B94861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6140DF86">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0"/>
            <w:vAlign w:val="center"/>
          </w:tcPr>
          <w:p w14:paraId="3CF6E08A">
            <w:pPr>
              <w:topLinePunct/>
              <w:spacing w:line="360" w:lineRule="auto"/>
              <w:jc w:val="center"/>
              <w:rPr>
                <w:rFonts w:hint="eastAsia" w:ascii="仿宋" w:hAnsi="仿宋" w:eastAsia="仿宋" w:cs="仿宋"/>
                <w:sz w:val="24"/>
                <w:szCs w:val="24"/>
                <w:highlight w:val="none"/>
              </w:rPr>
            </w:pPr>
          </w:p>
        </w:tc>
        <w:tc>
          <w:tcPr>
            <w:tcW w:w="1620" w:type="dxa"/>
            <w:noWrap w:val="0"/>
            <w:vAlign w:val="center"/>
          </w:tcPr>
          <w:p w14:paraId="170BC0DD">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0"/>
            <w:vAlign w:val="center"/>
          </w:tcPr>
          <w:p w14:paraId="7CAC1AAB">
            <w:pPr>
              <w:topLinePunct/>
              <w:spacing w:line="360" w:lineRule="auto"/>
              <w:jc w:val="center"/>
              <w:rPr>
                <w:rFonts w:hint="eastAsia" w:ascii="仿宋" w:hAnsi="仿宋" w:eastAsia="仿宋" w:cs="仿宋"/>
                <w:sz w:val="24"/>
                <w:szCs w:val="24"/>
                <w:highlight w:val="none"/>
              </w:rPr>
            </w:pPr>
          </w:p>
        </w:tc>
      </w:tr>
      <w:tr w14:paraId="56482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1187967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0"/>
            <w:vAlign w:val="center"/>
          </w:tcPr>
          <w:p w14:paraId="289EA92D">
            <w:pPr>
              <w:topLinePunct/>
              <w:spacing w:line="360" w:lineRule="auto"/>
              <w:jc w:val="center"/>
              <w:rPr>
                <w:rFonts w:hint="eastAsia" w:ascii="仿宋" w:hAnsi="仿宋" w:eastAsia="仿宋" w:cs="仿宋"/>
                <w:sz w:val="24"/>
                <w:szCs w:val="24"/>
                <w:highlight w:val="none"/>
              </w:rPr>
            </w:pPr>
          </w:p>
        </w:tc>
        <w:tc>
          <w:tcPr>
            <w:tcW w:w="1620" w:type="dxa"/>
            <w:noWrap w:val="0"/>
            <w:vAlign w:val="center"/>
          </w:tcPr>
          <w:p w14:paraId="3E23D20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0"/>
            <w:vAlign w:val="center"/>
          </w:tcPr>
          <w:p w14:paraId="287E8A4D">
            <w:pPr>
              <w:topLinePunct/>
              <w:spacing w:line="360" w:lineRule="auto"/>
              <w:jc w:val="center"/>
              <w:rPr>
                <w:rFonts w:hint="eastAsia" w:ascii="仿宋" w:hAnsi="仿宋" w:eastAsia="仿宋" w:cs="仿宋"/>
                <w:sz w:val="24"/>
                <w:szCs w:val="24"/>
                <w:highlight w:val="none"/>
              </w:rPr>
            </w:pPr>
          </w:p>
        </w:tc>
      </w:tr>
      <w:tr w14:paraId="563EC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5F8E1156">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0"/>
            <w:vAlign w:val="center"/>
          </w:tcPr>
          <w:p w14:paraId="035601D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0"/>
            <w:vAlign w:val="center"/>
          </w:tcPr>
          <w:p w14:paraId="55D75B1B">
            <w:pPr>
              <w:topLinePunct/>
              <w:spacing w:line="360" w:lineRule="auto"/>
              <w:jc w:val="center"/>
              <w:rPr>
                <w:rFonts w:hint="eastAsia" w:ascii="仿宋" w:hAnsi="仿宋" w:eastAsia="仿宋" w:cs="仿宋"/>
                <w:sz w:val="24"/>
                <w:szCs w:val="24"/>
                <w:highlight w:val="none"/>
              </w:rPr>
            </w:pPr>
          </w:p>
        </w:tc>
        <w:tc>
          <w:tcPr>
            <w:tcW w:w="1425" w:type="dxa"/>
            <w:gridSpan w:val="2"/>
            <w:noWrap w:val="0"/>
            <w:vAlign w:val="center"/>
          </w:tcPr>
          <w:p w14:paraId="0E42DB4D">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0"/>
            <w:vAlign w:val="center"/>
          </w:tcPr>
          <w:p w14:paraId="4F895252">
            <w:pPr>
              <w:topLinePunct/>
              <w:spacing w:line="360" w:lineRule="auto"/>
              <w:ind w:firstLine="120" w:firstLineChars="50"/>
              <w:jc w:val="center"/>
              <w:rPr>
                <w:rFonts w:hint="eastAsia" w:ascii="仿宋" w:hAnsi="仿宋" w:eastAsia="仿宋" w:cs="仿宋"/>
                <w:sz w:val="24"/>
                <w:szCs w:val="24"/>
                <w:highlight w:val="none"/>
              </w:rPr>
            </w:pPr>
          </w:p>
        </w:tc>
      </w:tr>
      <w:tr w14:paraId="04841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53543312">
            <w:pPr>
              <w:topLinePunct/>
              <w:spacing w:line="360" w:lineRule="auto"/>
              <w:jc w:val="center"/>
              <w:rPr>
                <w:rFonts w:hint="eastAsia" w:ascii="仿宋" w:hAnsi="仿宋" w:eastAsia="仿宋" w:cs="仿宋"/>
                <w:sz w:val="24"/>
                <w:szCs w:val="24"/>
                <w:highlight w:val="none"/>
              </w:rPr>
            </w:pPr>
          </w:p>
        </w:tc>
        <w:tc>
          <w:tcPr>
            <w:tcW w:w="1592" w:type="dxa"/>
            <w:gridSpan w:val="2"/>
            <w:noWrap w:val="0"/>
            <w:vAlign w:val="center"/>
          </w:tcPr>
          <w:p w14:paraId="2B8D274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0"/>
            <w:vAlign w:val="center"/>
          </w:tcPr>
          <w:p w14:paraId="0CA7CDEF">
            <w:pPr>
              <w:topLinePunct/>
              <w:spacing w:line="360" w:lineRule="auto"/>
              <w:jc w:val="center"/>
              <w:rPr>
                <w:rFonts w:hint="eastAsia" w:ascii="仿宋" w:hAnsi="仿宋" w:eastAsia="仿宋" w:cs="仿宋"/>
                <w:sz w:val="24"/>
                <w:szCs w:val="24"/>
                <w:highlight w:val="none"/>
              </w:rPr>
            </w:pPr>
          </w:p>
        </w:tc>
        <w:tc>
          <w:tcPr>
            <w:tcW w:w="1425" w:type="dxa"/>
            <w:gridSpan w:val="2"/>
            <w:noWrap w:val="0"/>
            <w:vAlign w:val="center"/>
          </w:tcPr>
          <w:p w14:paraId="1411F550">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0"/>
            <w:vAlign w:val="center"/>
          </w:tcPr>
          <w:p w14:paraId="1E736488">
            <w:pPr>
              <w:topLinePunct/>
              <w:spacing w:line="360" w:lineRule="auto"/>
              <w:ind w:firstLine="120" w:firstLineChars="50"/>
              <w:jc w:val="center"/>
              <w:rPr>
                <w:rFonts w:hint="eastAsia" w:ascii="仿宋" w:hAnsi="仿宋" w:eastAsia="仿宋" w:cs="仿宋"/>
                <w:sz w:val="24"/>
                <w:szCs w:val="24"/>
                <w:highlight w:val="none"/>
              </w:rPr>
            </w:pPr>
          </w:p>
        </w:tc>
      </w:tr>
      <w:tr w14:paraId="15175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A42DC60">
            <w:pPr>
              <w:topLinePunct/>
              <w:spacing w:line="360" w:lineRule="auto"/>
              <w:jc w:val="center"/>
              <w:rPr>
                <w:rFonts w:hint="eastAsia" w:ascii="仿宋" w:hAnsi="仿宋" w:eastAsia="仿宋" w:cs="仿宋"/>
                <w:sz w:val="24"/>
                <w:szCs w:val="24"/>
                <w:highlight w:val="none"/>
              </w:rPr>
            </w:pPr>
          </w:p>
        </w:tc>
        <w:tc>
          <w:tcPr>
            <w:tcW w:w="1592" w:type="dxa"/>
            <w:gridSpan w:val="2"/>
            <w:noWrap w:val="0"/>
            <w:vAlign w:val="center"/>
          </w:tcPr>
          <w:p w14:paraId="31977B5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7F663D9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0"/>
            <w:vAlign w:val="center"/>
          </w:tcPr>
          <w:p w14:paraId="78E07AD7">
            <w:pPr>
              <w:topLinePunct/>
              <w:spacing w:line="360" w:lineRule="auto"/>
              <w:ind w:firstLine="120" w:firstLineChars="50"/>
              <w:jc w:val="center"/>
              <w:rPr>
                <w:rFonts w:hint="eastAsia" w:ascii="仿宋" w:hAnsi="仿宋" w:eastAsia="仿宋" w:cs="仿宋"/>
                <w:sz w:val="24"/>
                <w:szCs w:val="24"/>
                <w:highlight w:val="none"/>
              </w:rPr>
            </w:pPr>
          </w:p>
        </w:tc>
      </w:tr>
      <w:tr w14:paraId="4D315D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3380BC11">
            <w:pPr>
              <w:topLinePunct/>
              <w:spacing w:line="360" w:lineRule="auto"/>
              <w:jc w:val="center"/>
              <w:rPr>
                <w:rFonts w:hint="eastAsia" w:ascii="仿宋" w:hAnsi="仿宋" w:eastAsia="仿宋" w:cs="仿宋"/>
                <w:sz w:val="24"/>
                <w:szCs w:val="24"/>
                <w:highlight w:val="none"/>
              </w:rPr>
            </w:pPr>
          </w:p>
        </w:tc>
        <w:tc>
          <w:tcPr>
            <w:tcW w:w="1592" w:type="dxa"/>
            <w:gridSpan w:val="2"/>
            <w:noWrap w:val="0"/>
            <w:vAlign w:val="center"/>
          </w:tcPr>
          <w:p w14:paraId="662FD29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E60E6DB">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0"/>
            <w:vAlign w:val="center"/>
          </w:tcPr>
          <w:p w14:paraId="333713E4">
            <w:pPr>
              <w:topLinePunct/>
              <w:spacing w:line="360" w:lineRule="auto"/>
              <w:ind w:firstLine="120" w:firstLineChars="50"/>
              <w:jc w:val="center"/>
              <w:rPr>
                <w:rFonts w:hint="eastAsia" w:ascii="仿宋" w:hAnsi="仿宋" w:eastAsia="仿宋" w:cs="仿宋"/>
                <w:sz w:val="24"/>
                <w:szCs w:val="24"/>
                <w:highlight w:val="none"/>
              </w:rPr>
            </w:pPr>
          </w:p>
        </w:tc>
      </w:tr>
      <w:tr w14:paraId="6CF9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46150AF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0"/>
            <w:vAlign w:val="center"/>
          </w:tcPr>
          <w:p w14:paraId="770BF0F7">
            <w:pPr>
              <w:topLinePunct/>
              <w:spacing w:line="360" w:lineRule="auto"/>
              <w:jc w:val="center"/>
              <w:rPr>
                <w:rFonts w:hint="eastAsia" w:ascii="仿宋" w:hAnsi="仿宋" w:eastAsia="仿宋" w:cs="仿宋"/>
                <w:sz w:val="24"/>
                <w:szCs w:val="24"/>
                <w:highlight w:val="none"/>
              </w:rPr>
            </w:pPr>
          </w:p>
        </w:tc>
      </w:tr>
      <w:tr w14:paraId="5B19A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6DCACD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0"/>
            <w:vAlign w:val="center"/>
          </w:tcPr>
          <w:p w14:paraId="64993FC3">
            <w:pPr>
              <w:topLinePunct/>
              <w:spacing w:line="360" w:lineRule="auto"/>
              <w:jc w:val="center"/>
              <w:rPr>
                <w:rFonts w:hint="eastAsia" w:ascii="仿宋" w:hAnsi="仿宋" w:eastAsia="仿宋" w:cs="仿宋"/>
                <w:sz w:val="24"/>
                <w:szCs w:val="24"/>
                <w:highlight w:val="none"/>
              </w:rPr>
            </w:pPr>
          </w:p>
        </w:tc>
      </w:tr>
      <w:tr w14:paraId="443DB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3204100D">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0"/>
            <w:vAlign w:val="center"/>
          </w:tcPr>
          <w:p w14:paraId="69085357">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0"/>
            <w:vAlign w:val="center"/>
          </w:tcPr>
          <w:p w14:paraId="731D75A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0"/>
            <w:vAlign w:val="center"/>
          </w:tcPr>
          <w:p w14:paraId="34C276F4">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55448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948D1B4">
            <w:pPr>
              <w:topLinePunct/>
              <w:spacing w:line="360" w:lineRule="auto"/>
              <w:jc w:val="center"/>
              <w:rPr>
                <w:rFonts w:hint="eastAsia" w:ascii="仿宋" w:hAnsi="仿宋" w:eastAsia="仿宋" w:cs="仿宋"/>
                <w:sz w:val="24"/>
                <w:szCs w:val="24"/>
                <w:highlight w:val="none"/>
              </w:rPr>
            </w:pPr>
          </w:p>
        </w:tc>
        <w:tc>
          <w:tcPr>
            <w:tcW w:w="2403" w:type="dxa"/>
            <w:gridSpan w:val="2"/>
            <w:noWrap w:val="0"/>
            <w:vAlign w:val="center"/>
          </w:tcPr>
          <w:p w14:paraId="1609C00D">
            <w:pPr>
              <w:topLinePunct/>
              <w:spacing w:line="360" w:lineRule="auto"/>
              <w:jc w:val="center"/>
              <w:rPr>
                <w:rFonts w:hint="eastAsia" w:ascii="仿宋" w:hAnsi="仿宋" w:eastAsia="仿宋" w:cs="仿宋"/>
                <w:sz w:val="24"/>
                <w:szCs w:val="24"/>
                <w:highlight w:val="none"/>
              </w:rPr>
            </w:pPr>
          </w:p>
        </w:tc>
        <w:tc>
          <w:tcPr>
            <w:tcW w:w="1227" w:type="dxa"/>
            <w:noWrap w:val="0"/>
            <w:vAlign w:val="center"/>
          </w:tcPr>
          <w:p w14:paraId="09105F8D">
            <w:pPr>
              <w:topLinePunct/>
              <w:spacing w:line="360" w:lineRule="auto"/>
              <w:jc w:val="center"/>
              <w:rPr>
                <w:rFonts w:hint="eastAsia" w:ascii="仿宋" w:hAnsi="仿宋" w:eastAsia="仿宋" w:cs="仿宋"/>
                <w:sz w:val="24"/>
                <w:szCs w:val="24"/>
                <w:highlight w:val="none"/>
              </w:rPr>
            </w:pPr>
          </w:p>
        </w:tc>
        <w:tc>
          <w:tcPr>
            <w:tcW w:w="3277" w:type="dxa"/>
            <w:gridSpan w:val="2"/>
            <w:noWrap w:val="0"/>
            <w:vAlign w:val="center"/>
          </w:tcPr>
          <w:p w14:paraId="2D1C02E8">
            <w:pPr>
              <w:topLinePunct/>
              <w:spacing w:line="360" w:lineRule="auto"/>
              <w:jc w:val="center"/>
              <w:rPr>
                <w:rFonts w:hint="eastAsia" w:ascii="仿宋" w:hAnsi="仿宋" w:eastAsia="仿宋" w:cs="仿宋"/>
                <w:sz w:val="24"/>
                <w:szCs w:val="24"/>
                <w:highlight w:val="none"/>
              </w:rPr>
            </w:pPr>
          </w:p>
        </w:tc>
      </w:tr>
      <w:tr w14:paraId="16234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303F80B6">
            <w:pPr>
              <w:topLinePunct/>
              <w:spacing w:line="360" w:lineRule="auto"/>
              <w:jc w:val="center"/>
              <w:rPr>
                <w:rFonts w:hint="eastAsia" w:ascii="仿宋" w:hAnsi="仿宋" w:eastAsia="仿宋" w:cs="仿宋"/>
                <w:sz w:val="24"/>
                <w:szCs w:val="24"/>
                <w:highlight w:val="none"/>
              </w:rPr>
            </w:pPr>
          </w:p>
        </w:tc>
        <w:tc>
          <w:tcPr>
            <w:tcW w:w="2403" w:type="dxa"/>
            <w:gridSpan w:val="2"/>
            <w:noWrap w:val="0"/>
            <w:vAlign w:val="center"/>
          </w:tcPr>
          <w:p w14:paraId="19485FB7">
            <w:pPr>
              <w:topLinePunct/>
              <w:spacing w:line="360" w:lineRule="auto"/>
              <w:jc w:val="center"/>
              <w:rPr>
                <w:rFonts w:hint="eastAsia" w:ascii="仿宋" w:hAnsi="仿宋" w:eastAsia="仿宋" w:cs="仿宋"/>
                <w:sz w:val="24"/>
                <w:szCs w:val="24"/>
                <w:highlight w:val="none"/>
              </w:rPr>
            </w:pPr>
          </w:p>
        </w:tc>
        <w:tc>
          <w:tcPr>
            <w:tcW w:w="1227" w:type="dxa"/>
            <w:noWrap w:val="0"/>
            <w:vAlign w:val="center"/>
          </w:tcPr>
          <w:p w14:paraId="32E721AD">
            <w:pPr>
              <w:topLinePunct/>
              <w:spacing w:line="360" w:lineRule="auto"/>
              <w:jc w:val="center"/>
              <w:rPr>
                <w:rFonts w:hint="eastAsia" w:ascii="仿宋" w:hAnsi="仿宋" w:eastAsia="仿宋" w:cs="仿宋"/>
                <w:sz w:val="24"/>
                <w:szCs w:val="24"/>
                <w:highlight w:val="none"/>
              </w:rPr>
            </w:pPr>
          </w:p>
        </w:tc>
        <w:tc>
          <w:tcPr>
            <w:tcW w:w="3277" w:type="dxa"/>
            <w:gridSpan w:val="2"/>
            <w:noWrap w:val="0"/>
            <w:vAlign w:val="center"/>
          </w:tcPr>
          <w:p w14:paraId="1657BB52">
            <w:pPr>
              <w:topLinePunct/>
              <w:spacing w:line="360" w:lineRule="auto"/>
              <w:jc w:val="center"/>
              <w:rPr>
                <w:rFonts w:hint="eastAsia" w:ascii="仿宋" w:hAnsi="仿宋" w:eastAsia="仿宋" w:cs="仿宋"/>
                <w:sz w:val="24"/>
                <w:szCs w:val="24"/>
                <w:highlight w:val="none"/>
              </w:rPr>
            </w:pPr>
          </w:p>
        </w:tc>
      </w:tr>
      <w:tr w14:paraId="54547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6A61C65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0"/>
            <w:vAlign w:val="center"/>
          </w:tcPr>
          <w:p w14:paraId="00BCDD7B">
            <w:pPr>
              <w:topLinePunct/>
              <w:spacing w:line="360" w:lineRule="auto"/>
              <w:rPr>
                <w:rFonts w:hint="eastAsia" w:ascii="仿宋" w:hAnsi="仿宋" w:eastAsia="仿宋" w:cs="仿宋"/>
                <w:sz w:val="24"/>
                <w:szCs w:val="24"/>
                <w:highlight w:val="none"/>
              </w:rPr>
            </w:pPr>
          </w:p>
        </w:tc>
      </w:tr>
    </w:tbl>
    <w:p w14:paraId="5E1A417A">
      <w:pPr>
        <w:spacing w:line="360" w:lineRule="auto"/>
        <w:ind w:firstLine="3840" w:firstLineChars="1600"/>
        <w:rPr>
          <w:rFonts w:hint="eastAsia" w:ascii="仿宋" w:hAnsi="仿宋" w:eastAsia="仿宋" w:cs="仿宋"/>
          <w:sz w:val="24"/>
          <w:szCs w:val="24"/>
          <w:highlight w:val="none"/>
        </w:rPr>
      </w:pPr>
    </w:p>
    <w:p w14:paraId="136B244A">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5C0BBFCC">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416035F9">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b/>
          <w:bCs/>
          <w:sz w:val="28"/>
          <w:szCs w:val="28"/>
          <w:highlight w:val="none"/>
        </w:rPr>
        <w:br w:type="page"/>
      </w:r>
      <w:bookmarkStart w:id="0" w:name="_Toc10600"/>
      <w:bookmarkStart w:id="1" w:name="_Toc495908047"/>
      <w:bookmarkStart w:id="2" w:name="_Toc495671262"/>
      <w:bookmarkStart w:id="3" w:name="_Toc495681532"/>
      <w:bookmarkStart w:id="4" w:name="_Toc31488"/>
      <w:bookmarkStart w:id="5" w:name="_Toc31106"/>
      <w:bookmarkStart w:id="6" w:name="_Toc7510"/>
      <w:bookmarkStart w:id="7" w:name="_Toc495681405"/>
      <w:bookmarkStart w:id="8" w:name="_Toc27035"/>
      <w:bookmarkStart w:id="9" w:name="_Toc495681251"/>
      <w:bookmarkStart w:id="10" w:name="_Toc32473"/>
      <w:bookmarkStart w:id="11" w:name="_Toc495681260"/>
      <w:bookmarkStart w:id="12" w:name="_Toc495908056"/>
      <w:bookmarkStart w:id="13" w:name="_Toc495681541"/>
      <w:bookmarkStart w:id="14" w:name="_Toc495681414"/>
      <w:bookmarkStart w:id="15" w:name="_Toc495671271"/>
      <w:bookmarkStart w:id="16" w:name="_Toc20626"/>
      <w:bookmarkStart w:id="17" w:name="_Toc19595"/>
      <w:bookmarkStart w:id="18" w:name="_Toc3931"/>
      <w:bookmarkStart w:id="19" w:name="_Toc23630"/>
      <w:bookmarkStart w:id="20" w:name="_Toc26573"/>
      <w:bookmarkStart w:id="21" w:name="_Toc2077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345E751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5165953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2C1EBFE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b/>
          <w:sz w:val="28"/>
          <w:szCs w:val="28"/>
          <w:highlight w:val="none"/>
          <w:lang w:val="zh-CN"/>
        </w:rPr>
        <w:t>粘贴处</w:t>
      </w:r>
    </w:p>
    <w:p w14:paraId="477C104F">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3980"/>
      <w:bookmarkStart w:id="24" w:name="_Toc19868"/>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2756656A">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0A93E260">
      <w:pPr>
        <w:pStyle w:val="4"/>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5823F8B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41B89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435342D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7DA9CAC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CF5E03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75A8A1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24497FB7">
      <w:pPr>
        <w:pStyle w:val="4"/>
        <w:shd w:val="clear" w:color="auto" w:fill="auto"/>
        <w:rPr>
          <w:rFonts w:hint="eastAsia" w:ascii="仿宋" w:hAnsi="仿宋" w:eastAsia="仿宋" w:cs="仿宋"/>
          <w:highlight w:val="none"/>
          <w:lang w:val="en-US" w:eastAsia="zh-CN"/>
        </w:rPr>
      </w:pPr>
    </w:p>
    <w:p w14:paraId="6FD75D2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CC4D7A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3E05FBC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3419E6C">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14151E35">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72B4DED">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BE35CE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2CAAB0DA">
      <w:pPr>
        <w:pStyle w:val="3"/>
        <w:jc w:val="center"/>
        <w:rPr>
          <w:rFonts w:hint="eastAsia" w:ascii="仿宋" w:hAnsi="仿宋" w:eastAsia="仿宋" w:cs="仿宋"/>
          <w:szCs w:val="24"/>
          <w:highlight w:val="none"/>
        </w:rPr>
        <w:sectPr>
          <w:pgSz w:w="11900" w:h="16838"/>
          <w:pgMar w:top="1440" w:right="1803" w:bottom="1440" w:left="1803" w:header="0" w:footer="1134" w:gutter="0"/>
          <w:pgNumType w:fmt="decimal"/>
          <w:cols w:space="0" w:num="1"/>
          <w:rtlGutter w:val="0"/>
          <w:docGrid w:linePitch="312" w:charSpace="0"/>
        </w:sectPr>
      </w:pPr>
    </w:p>
    <w:bookmarkEnd w:id="16"/>
    <w:bookmarkEnd w:id="17"/>
    <w:bookmarkEnd w:id="18"/>
    <w:p w14:paraId="4441F36C">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sz w:val="28"/>
          <w:szCs w:val="28"/>
          <w:highlight w:val="none"/>
        </w:rPr>
      </w:pPr>
      <w:bookmarkStart w:id="25" w:name="_Toc29646"/>
      <w:bookmarkStart w:id="26" w:name="_Toc17106"/>
      <w:r>
        <w:rPr>
          <w:rFonts w:hint="eastAsia" w:ascii="仿宋" w:hAnsi="仿宋" w:eastAsia="仿宋" w:cs="仿宋"/>
          <w:b/>
          <w:bCs/>
          <w:sz w:val="28"/>
          <w:szCs w:val="28"/>
          <w:highlight w:val="none"/>
          <w:lang w:val="en-US" w:eastAsia="zh-CN"/>
        </w:rPr>
        <w:t>（二）</w:t>
      </w:r>
      <w:r>
        <w:rPr>
          <w:rFonts w:hint="eastAsia" w:ascii="仿宋" w:hAnsi="仿宋" w:eastAsia="仿宋" w:cs="仿宋"/>
          <w:b/>
          <w:bCs/>
          <w:sz w:val="28"/>
          <w:szCs w:val="28"/>
          <w:highlight w:val="none"/>
          <w:lang w:val="zh-CN"/>
        </w:rPr>
        <w:t>法定代表人身份证明/法定代表人授权书</w:t>
      </w:r>
      <w:bookmarkEnd w:id="25"/>
      <w:bookmarkEnd w:id="26"/>
    </w:p>
    <w:p w14:paraId="11BBD5E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sz w:val="28"/>
          <w:szCs w:val="28"/>
          <w:highlight w:val="none"/>
        </w:rPr>
      </w:pPr>
      <w:bookmarkStart w:id="27" w:name="_Toc495671263"/>
      <w:bookmarkStart w:id="28" w:name="_Toc495908048"/>
      <w:bookmarkStart w:id="29" w:name="_Toc495681533"/>
      <w:bookmarkStart w:id="30" w:name="_Toc495681252"/>
      <w:bookmarkStart w:id="31" w:name="_Toc495681406"/>
      <w:bookmarkStart w:id="32" w:name="_Toc1610"/>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法定代表人身份证明</w:t>
      </w:r>
      <w:bookmarkEnd w:id="27"/>
      <w:bookmarkEnd w:id="28"/>
      <w:bookmarkEnd w:id="29"/>
      <w:bookmarkEnd w:id="30"/>
      <w:bookmarkEnd w:id="31"/>
      <w:bookmarkEnd w:id="32"/>
    </w:p>
    <w:p w14:paraId="2C3FB28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15936C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78C287A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6E5E1C6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39C5BB4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78261B9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3AF1015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31815887">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32981B46">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355BD9">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7A332A8">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053E06">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132B55D">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34348DA2">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77BE0D94">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742B7ADE">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010B3E50">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742F397C">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3" w:name="_Toc495681253"/>
      <w:bookmarkStart w:id="34" w:name="_Toc495908049"/>
      <w:bookmarkStart w:id="35" w:name="_Toc18921"/>
      <w:bookmarkStart w:id="36" w:name="_Toc495681534"/>
      <w:bookmarkStart w:id="37" w:name="_Toc495681407"/>
      <w:bookmarkStart w:id="38" w:name="_Toc495671264"/>
      <w:r>
        <w:rPr>
          <w:rFonts w:hint="eastAsia" w:ascii="仿宋" w:hAnsi="仿宋" w:eastAsia="仿宋" w:cs="仿宋"/>
          <w:b/>
          <w:sz w:val="24"/>
          <w:szCs w:val="24"/>
          <w:highlight w:val="none"/>
          <w:lang w:val="en-US" w:eastAsia="zh-CN"/>
        </w:rPr>
        <w:t>2.</w:t>
      </w:r>
      <w:r>
        <w:rPr>
          <w:rFonts w:hint="eastAsia" w:ascii="仿宋" w:hAnsi="仿宋" w:eastAsia="仿宋" w:cs="仿宋"/>
          <w:b/>
          <w:sz w:val="24"/>
          <w:szCs w:val="24"/>
          <w:highlight w:val="none"/>
        </w:rPr>
        <w:t>法定代表人授权书</w:t>
      </w:r>
      <w:bookmarkEnd w:id="33"/>
      <w:bookmarkEnd w:id="34"/>
      <w:bookmarkEnd w:id="35"/>
      <w:bookmarkEnd w:id="36"/>
      <w:bookmarkEnd w:id="37"/>
      <w:bookmarkEnd w:id="38"/>
    </w:p>
    <w:p w14:paraId="56AE6803">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7A8A79A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0E5D93C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5579B6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F61F46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2BA5E6FA">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6841A90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4BF0FB77">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59A0C26C">
      <w:pPr>
        <w:spacing w:line="360" w:lineRule="auto"/>
        <w:ind w:firstLine="6000" w:firstLineChars="2500"/>
        <w:rPr>
          <w:rFonts w:hint="eastAsia"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7A6AD57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3776F11C">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72F7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CD8059A">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6D8BBECE">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3240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15CC1EA6">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4470F94D">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3558BE0D">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7999BE30">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bookmarkStart w:id="39" w:name="_Toc495671267"/>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本授权有效期为投标之日起不少于90天，仅限授权代表参加投标时提供。</w:t>
      </w:r>
    </w:p>
    <w:p w14:paraId="52ABC5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2.后附</w:t>
      </w:r>
      <w:r>
        <w:rPr>
          <w:rFonts w:hint="eastAsia" w:ascii="仿宋" w:hAnsi="仿宋" w:eastAsia="仿宋" w:cs="仿宋"/>
          <w:sz w:val="24"/>
          <w:szCs w:val="24"/>
          <w:highlight w:val="none"/>
          <w:lang w:eastAsia="zh-CN"/>
        </w:rPr>
        <w:t>被授权人提供开标前半年内任意一个月的社保缴纳证明。</w:t>
      </w:r>
    </w:p>
    <w:bookmarkEnd w:id="39"/>
    <w:p w14:paraId="03755E5B">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5" w:type="default"/>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p>
    <w:bookmarkEnd w:id="19"/>
    <w:bookmarkEnd w:id="20"/>
    <w:bookmarkEnd w:id="21"/>
    <w:p w14:paraId="1CC0021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223840B3">
      <w:pPr>
        <w:numPr>
          <w:ilvl w:val="0"/>
          <w:numId w:val="0"/>
        </w:numPr>
        <w:adjustRightInd w:val="0"/>
        <w:snapToGrid w:val="0"/>
        <w:spacing w:line="360" w:lineRule="auto"/>
        <w:jc w:val="center"/>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（1）供应商须具备建筑工程施工总承包三级及以上或建筑装修装饰工程专业承包二级及以上资质，具有合格有效的安全生产许可证；</w:t>
      </w:r>
    </w:p>
    <w:p w14:paraId="19211DD2">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0887B95">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40" w:right="1803" w:bottom="1440" w:left="1803" w:header="0" w:footer="1134" w:gutter="0"/>
          <w:pgNumType w:fmt="decimal"/>
          <w:cols w:space="0" w:num="1"/>
          <w:rtlGutter w:val="0"/>
          <w:docGrid w:linePitch="0" w:charSpace="0"/>
        </w:sectPr>
      </w:pPr>
      <w:r>
        <w:rPr>
          <w:rFonts w:hint="eastAsia" w:ascii="仿宋" w:hAnsi="仿宋" w:eastAsia="仿宋" w:cs="仿宋"/>
          <w:b/>
          <w:bCs/>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50BC02B8">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（四）本项目不接受联合体投标</w:t>
      </w:r>
    </w:p>
    <w:p w14:paraId="2E6DF170">
      <w:pPr>
        <w:pStyle w:val="2"/>
        <w:rPr>
          <w:rFonts w:hint="eastAsia" w:ascii="仿宋" w:hAnsi="仿宋" w:eastAsia="仿宋" w:cs="仿宋"/>
          <w:highlight w:val="none"/>
          <w:lang w:val="en-US" w:eastAsia="zh-CN"/>
        </w:rPr>
      </w:pPr>
    </w:p>
    <w:p w14:paraId="7A58A645">
      <w:pPr>
        <w:pStyle w:val="2"/>
        <w:rPr>
          <w:rFonts w:hint="eastAsia" w:ascii="仿宋" w:hAnsi="仿宋" w:eastAsia="仿宋" w:cs="仿宋"/>
          <w:highlight w:val="none"/>
          <w:lang w:val="en-US" w:eastAsia="zh-CN"/>
        </w:rPr>
      </w:pPr>
    </w:p>
    <w:p w14:paraId="39397416">
      <w:pPr>
        <w:pStyle w:val="2"/>
        <w:jc w:val="center"/>
        <w:rPr>
          <w:rFonts w:hint="default" w:ascii="仿宋" w:hAnsi="仿宋" w:eastAsia="仿宋" w:cs="仿宋"/>
          <w:highlight w:val="none"/>
          <w:lang w:val="en-US" w:eastAsia="zh-CN"/>
        </w:rPr>
      </w:pPr>
      <w:r>
        <w:rPr>
          <w:rFonts w:hint="eastAsia" w:ascii="仿宋" w:hAnsi="仿宋" w:eastAsia="仿宋" w:cs="仿宋"/>
          <w:highlight w:val="none"/>
          <w:lang w:val="en-US" w:eastAsia="zh-CN"/>
        </w:rPr>
        <w:t>提供承诺函，格式自拟</w:t>
      </w:r>
    </w:p>
    <w:p w14:paraId="2B1A0992">
      <w:bookmarkStart w:id="41" w:name="_GoBack"/>
      <w:bookmarkEnd w:id="4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0761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7EECE9">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7EECE9">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F43BF">
    <w:pPr>
      <w:pStyle w:val="2"/>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B0F7B7">
                          <w:pPr>
                            <w:pStyle w:val="2"/>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5B0F7B7">
                    <w:pPr>
                      <w:pStyle w:val="2"/>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C93F3EF">
                          <w:pPr>
                            <w:pStyle w:val="2"/>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2C93F3EF">
                    <w:pPr>
                      <w:pStyle w:val="2"/>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E72873"/>
    <w:rsid w:val="5B8F5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3">
    <w:name w:val="toa heading"/>
    <w:basedOn w:val="1"/>
    <w:next w:val="1"/>
    <w:qFormat/>
    <w:uiPriority w:val="0"/>
    <w:pPr>
      <w:widowControl w:val="0"/>
      <w:kinsoku/>
      <w:autoSpaceDE/>
      <w:autoSpaceDN/>
      <w:adjustRightInd/>
      <w:snapToGrid/>
      <w:spacing w:before="120" w:beforeLines="0" w:beforeAutospacing="0" w:line="240" w:lineRule="auto"/>
      <w:jc w:val="both"/>
      <w:textAlignment w:val="auto"/>
    </w:pPr>
    <w:rPr>
      <w:rFonts w:ascii="Arial" w:hAnsi="Arial" w:eastAsiaTheme="minorEastAsia" w:cstheme="minorBidi"/>
      <w:snapToGrid/>
      <w:kern w:val="2"/>
      <w:sz w:val="24"/>
      <w:szCs w:val="24"/>
      <w:lang w:eastAsia="zh-CN"/>
    </w:rPr>
  </w:style>
  <w:style w:type="paragraph" w:styleId="4">
    <w:name w:val="Body Text"/>
    <w:basedOn w:val="1"/>
    <w:qFormat/>
    <w:uiPriority w:val="0"/>
    <w:rPr>
      <w:rFonts w:ascii="宋体" w:hAnsi="宋体" w:eastAsia="宋体" w:cs="宋体"/>
      <w:sz w:val="20"/>
      <w:szCs w:val="20"/>
      <w:lang w:val="en-US" w:eastAsia="en-US" w:bidi="ar-SA"/>
    </w:rPr>
  </w:style>
  <w:style w:type="paragraph" w:styleId="5">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2025-07-25T03:43:22Z</dcterms:created>
  <dc:creator>ASUS</dc:creator>
  <cp:lastModifiedBy>陕西笃信招标有限公司</cp:lastModifiedBy>
  <dcterms:modified xsi:type="dcterms:W3CDTF">2025-07-25T03:44:24Z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C83563D1F6F94F808EE4AA1CE8A1D60B_13</vt:lpwstr>
  </property>
</Properties>
</file>