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1B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承诺书</w:t>
      </w:r>
    </w:p>
    <w:bookmarkEnd w:id="0"/>
    <w:p w14:paraId="17D15461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5714346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9E511C3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6D704F1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340AEF5F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0D8A633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13E25F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CA830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B0C8B96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2539E79C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73C8170F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82377"/>
    <w:rsid w:val="12371472"/>
    <w:rsid w:val="182A5635"/>
    <w:rsid w:val="3F1E711F"/>
    <w:rsid w:val="3F2413A7"/>
    <w:rsid w:val="43C92044"/>
    <w:rsid w:val="46E72873"/>
    <w:rsid w:val="51A5377F"/>
    <w:rsid w:val="57545F54"/>
    <w:rsid w:val="5B8F5B3B"/>
    <w:rsid w:val="630D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1AE54262362D4308A3AA356E78048784_13</vt:lpwstr>
  </property>
</Properties>
</file>