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版本号：0617-2514FZ196120250731001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核算委托服务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0617-2514FZ1961</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核算委托服务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0617-2514FZ1961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核算委托服务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委托第三方机构提供财务管理相关服务，主要包括基地内设机构及独立事业单位、工会的财务核算工作，财务税务各类报表报送和决算工作，预算管理一体化绩效评价等服务工作。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采购包1（核算委托服务）：属于专门面向中小企业采购。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1、企业资质：供应商须具有财政部门颁发的会计师事务所执业证书</w:t>
      </w:r>
    </w:p>
    <w:p>
      <w:pPr>
        <w:pStyle w:val="null3"/>
      </w:pPr>
      <w:r>
        <w:rPr>
          <w:rFonts w:ascii="仿宋_GB2312" w:hAnsi="仿宋_GB2312" w:cs="仿宋_GB2312" w:eastAsia="仿宋_GB2312"/>
        </w:rPr>
        <w:t>2、项目负责人：拟派项目负责人具有有效的注册会计师资格证书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029-85688273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代理服务费收费标准：定额收取，人民币壹万壹仟捌佰捌拾元整（¥11880.00元）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委托第三方机构提供财务管理相关服务，主要包括基地内设机构及独立事业单位、工会的财务核算工作，财务税务各类报表报送和决算工作，预算管理一体化绩效评价等服务工作。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核算委托服务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标的名称：核算委托服务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5"/>
              <w:jc w:val="left"/>
            </w:pPr>
            <w:r>
              <w:rPr>
                <w:rFonts w:ascii="仿宋_GB2312" w:hAnsi="仿宋_GB2312" w:cs="仿宋_GB2312" w:eastAsia="仿宋_GB2312"/>
                <w:sz w:val="20"/>
                <w:color w:val="000000"/>
              </w:rPr>
              <w:t>一、项目概况</w:t>
            </w:r>
          </w:p>
          <w:p>
            <w:pPr>
              <w:pStyle w:val="null3"/>
              <w:jc w:val="both"/>
            </w:pPr>
            <w:r>
              <w:rPr>
                <w:rFonts w:ascii="仿宋_GB2312" w:hAnsi="仿宋_GB2312" w:cs="仿宋_GB2312" w:eastAsia="仿宋_GB2312"/>
                <w:sz w:val="20"/>
                <w:color w:val="000000"/>
              </w:rPr>
              <w:t>委托第三方机构提供财务管理相关服务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主要包括基地内设机构及独立事业单位、工会的财务核算工作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财务税务各类报表报送和决算工作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预算管理一体化绩效评价等服务工作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需满足的要求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完成基地内设机构及独立事业单位财务核算工作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财务税务各类报表报送和决算工作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预算管理一体化绩效评价服务工作。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right="45"/>
              <w:jc w:val="left"/>
            </w:pPr>
            <w:r>
              <w:rPr>
                <w:rFonts w:ascii="仿宋_GB2312" w:hAnsi="仿宋_GB2312" w:cs="仿宋_GB2312" w:eastAsia="仿宋_GB2312"/>
                <w:sz w:val="20"/>
                <w:color w:val="000000"/>
              </w:rPr>
              <w:t>二、服务内容（包括工作区域、工作内容）</w:t>
            </w:r>
          </w:p>
          <w:p>
            <w:pPr>
              <w:pStyle w:val="null3"/>
              <w:ind w:right="45" w:firstLine="388"/>
              <w:jc w:val="left"/>
            </w:pPr>
            <w:r>
              <w:rPr>
                <w:rFonts w:ascii="仿宋_GB2312" w:hAnsi="仿宋_GB2312" w:cs="仿宋_GB2312" w:eastAsia="仿宋_GB2312"/>
                <w:sz w:val="20"/>
                <w:color w:val="000000"/>
              </w:rPr>
              <w:t>第三方服务机构主要提供服务如下：</w:t>
            </w:r>
          </w:p>
          <w:p>
            <w:pPr>
              <w:pStyle w:val="null3"/>
              <w:ind w:right="45" w:firstLine="388"/>
              <w:jc w:val="left"/>
            </w:pPr>
            <w:r>
              <w:rPr>
                <w:rFonts w:ascii="仿宋_GB2312" w:hAnsi="仿宋_GB2312" w:cs="仿宋_GB2312" w:eastAsia="仿宋_GB2312"/>
                <w:sz w:val="20"/>
                <w:color w:val="000000"/>
              </w:rPr>
              <w:t>财务服务：包括基地内设机构、管理服务机构、支撑体系、工会等近30个单位的财务核算相关工作；</w:t>
            </w:r>
          </w:p>
          <w:p>
            <w:pPr>
              <w:pStyle w:val="null3"/>
              <w:ind w:right="45" w:firstLine="388"/>
              <w:jc w:val="left"/>
            </w:pPr>
            <w:r>
              <w:rPr>
                <w:rFonts w:ascii="仿宋_GB2312" w:hAnsi="仿宋_GB2312" w:cs="仿宋_GB2312" w:eastAsia="仿宋_GB2312"/>
                <w:sz w:val="20"/>
                <w:color w:val="000000"/>
              </w:rPr>
              <w:t>预算辅助服务：配合完成年度部门预算资料收集、整理，数据统计等相关工作。</w:t>
            </w:r>
          </w:p>
          <w:p>
            <w:pPr>
              <w:pStyle w:val="null3"/>
              <w:jc w:val="both"/>
            </w:pPr>
            <w:r>
              <w:rPr>
                <w:rFonts w:ascii="仿宋_GB2312" w:hAnsi="仿宋_GB2312" w:cs="仿宋_GB2312" w:eastAsia="仿宋_GB2312"/>
                <w:sz w:val="20"/>
                <w:color w:val="000000"/>
              </w:rPr>
              <w:t>绩效评价服务：部门项目支出绩效评价工作，包括绩效目标自评资料收集、初审，对重点项目进行事中绩效监控、事后绩效评价。</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right="45"/>
              <w:jc w:val="left"/>
            </w:pPr>
            <w:r>
              <w:rPr>
                <w:rFonts w:ascii="仿宋_GB2312" w:hAnsi="仿宋_GB2312" w:cs="仿宋_GB2312" w:eastAsia="仿宋_GB2312"/>
                <w:sz w:val="20"/>
                <w:color w:val="000000"/>
              </w:rPr>
              <w:t>三、商务要求</w:t>
            </w:r>
          </w:p>
          <w:p>
            <w:pPr>
              <w:pStyle w:val="null3"/>
              <w:ind w:right="45"/>
              <w:jc w:val="left"/>
            </w:pPr>
            <w:r>
              <w:rPr>
                <w:rFonts w:ascii="仿宋_GB2312" w:hAnsi="仿宋_GB2312" w:cs="仿宋_GB2312" w:eastAsia="仿宋_GB2312"/>
                <w:sz w:val="20"/>
                <w:color w:val="000000"/>
              </w:rPr>
              <w:t>（一）服务期</w:t>
            </w:r>
          </w:p>
          <w:p>
            <w:pPr>
              <w:pStyle w:val="null3"/>
              <w:ind w:right="45"/>
              <w:jc w:val="left"/>
            </w:pPr>
            <w:r>
              <w:rPr>
                <w:rFonts w:ascii="仿宋_GB2312" w:hAnsi="仿宋_GB2312" w:cs="仿宋_GB2312" w:eastAsia="仿宋_GB2312"/>
                <w:sz w:val="20"/>
                <w:color w:val="000000"/>
              </w:rPr>
              <w:t>1.服务周期</w:t>
            </w:r>
            <w:r>
              <w:rPr>
                <w:rFonts w:ascii="仿宋_GB2312" w:hAnsi="仿宋_GB2312" w:cs="仿宋_GB2312" w:eastAsia="仿宋_GB2312"/>
                <w:sz w:val="20"/>
                <w:color w:val="000000"/>
              </w:rPr>
              <w:t>：</w:t>
            </w:r>
            <w:r>
              <w:rPr>
                <w:rFonts w:ascii="仿宋_GB2312" w:hAnsi="仿宋_GB2312" w:cs="仿宋_GB2312" w:eastAsia="仿宋_GB2312"/>
                <w:sz w:val="20"/>
                <w:color w:val="000000"/>
              </w:rPr>
              <w:t>365自然日。</w:t>
            </w:r>
          </w:p>
          <w:p>
            <w:pPr>
              <w:pStyle w:val="null3"/>
              <w:ind w:right="45"/>
              <w:jc w:val="left"/>
            </w:pPr>
            <w:r>
              <w:rPr>
                <w:rFonts w:ascii="仿宋_GB2312" w:hAnsi="仿宋_GB2312" w:cs="仿宋_GB2312" w:eastAsia="仿宋_GB2312"/>
                <w:sz w:val="20"/>
                <w:color w:val="000000"/>
              </w:rPr>
              <w:t>2.技术保障服务。</w:t>
            </w:r>
          </w:p>
          <w:p>
            <w:pPr>
              <w:pStyle w:val="null3"/>
              <w:ind w:right="45"/>
              <w:jc w:val="left"/>
            </w:pPr>
            <w:r>
              <w:rPr>
                <w:rFonts w:ascii="仿宋_GB2312" w:hAnsi="仿宋_GB2312" w:cs="仿宋_GB2312" w:eastAsia="仿宋_GB2312"/>
                <w:sz w:val="20"/>
                <w:color w:val="000000"/>
              </w:rPr>
              <w:t>（二）款项结算</w:t>
            </w:r>
          </w:p>
          <w:p>
            <w:pPr>
              <w:pStyle w:val="null3"/>
              <w:jc w:val="both"/>
            </w:pPr>
            <w:r>
              <w:rPr>
                <w:rFonts w:ascii="仿宋_GB2312" w:hAnsi="仿宋_GB2312" w:cs="仿宋_GB2312" w:eastAsia="仿宋_GB2312"/>
                <w:sz w:val="20"/>
                <w:color w:val="000000"/>
              </w:rPr>
              <w:t>1 .合同生效之日起一个月内，达到付款条件起30日内，支付合同总金额的40%，服务验收合格后支付剩余款项，达到付款条件起30日内，支付合同总金额的60%。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365自然日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合同生效之日起一个月内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服务验收合格后支付剩余款项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 提供注册登记凭证 (营业执照、其他组织经营的合法凭证，自然人的提供身份证明文件）。2）具有良好的商业信誉和健全的财务会计制度 提供近三年任意一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 /或财政部门认可的政府采购专业担保机构出具的投标担保函；以上三种形式的资料提供任何一种即可。3）具有履行合同所必需的设备和专业技术能力提供声明文件。4）具有依法缴纳税收的良好记录 提供缴费所属日期为磋商截止时间前6个月内任一月份（磋商截止时间当月不计入）的增值税（或所得税）缴费凭据或税务机关出具的完税证明/在法规范围内不需提供的应出具书面说明和证明文件。5）具有依法缴纳社会保障资金的良好记录 提供缴费所属日期为磋商截止时间前6个月内任一月份（磋商截止时间当月不计入）的缴费凭据或社保机关出具的缴费证明/在法规范围内不需提供的应出具书面说明和证明文件。6）参加政府采购活动前3年内在经营活动中没有重大违法记录的书面声明。7）法人代表授权书。</w:t>
            </w:r>
          </w:p>
        </w:tc>
        <w:tc>
          <w:tcPr>
            <w:tcW w:type="dxa" w:w="1661"/>
          </w:tcPr>
          <w:p>
            <w:pPr>
              <w:pStyle w:val="null3"/>
            </w:pPr>
            <w:r>
              <w:rPr>
                <w:rFonts w:ascii="仿宋_GB2312" w:hAnsi="仿宋_GB2312" w:cs="仿宋_GB2312" w:eastAsia="仿宋_GB2312"/>
              </w:rPr>
              <w:t>拒绝政府采购领域商业贿赂承诺书.docx 供应商应提交的相关资格证明材料 资格证明文件格式.docx 响应函 法人授权书或法人身份证明.docx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供应商须具有财政部门颁发的会计师事务所执业证书</w:t>
            </w:r>
          </w:p>
        </w:tc>
        <w:tc>
          <w:tcPr>
            <w:tcW w:type="dxa" w:w="1661"/>
          </w:tcPr>
          <w:p>
            <w:pPr>
              <w:pStyle w:val="null3"/>
            </w:pPr>
            <w:r>
              <w:rPr>
                <w:rFonts w:ascii="仿宋_GB2312" w:hAnsi="仿宋_GB2312" w:cs="仿宋_GB2312" w:eastAsia="仿宋_GB2312"/>
              </w:rPr>
              <w:t>资格证明文件格式.docx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拟派项目负责人具有有效的注册会计师资格证书</w:t>
            </w:r>
          </w:p>
        </w:tc>
        <w:tc>
          <w:tcPr>
            <w:tcW w:type="dxa" w:w="1661"/>
          </w:tcPr>
          <w:p>
            <w:pPr>
              <w:pStyle w:val="null3"/>
            </w:pPr>
            <w:r>
              <w:rPr>
                <w:rFonts w:ascii="仿宋_GB2312" w:hAnsi="仿宋_GB2312" w:cs="仿宋_GB2312" w:eastAsia="仿宋_GB2312"/>
              </w:rPr>
              <w:t>供应商应提交的相关资格证明材料 资格证明文件格式.docx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 企业类型予以区别）、税金及附加、销售费用、管理费用、财务费用等成本构成事项详细陈述。2.供应商提交的相关证明材料，应当加盖供应商（法定名称）电子印章，在磋商小组要求的时间内通过项目电子化交易系统进行提交 , 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磋商报价是否未超过采购预算或最高限价，磋商报价有效期是否符合磋商文件的要求，是否完全满足磋商文件所要求的商务条款。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服务目标</w:t>
            </w:r>
          </w:p>
        </w:tc>
        <w:tc>
          <w:tcPr>
            <w:tcW w:type="dxa" w:w="2492"/>
          </w:tcPr>
          <w:p>
            <w:pPr>
              <w:pStyle w:val="null3"/>
            </w:pPr>
            <w:r>
              <w:rPr>
                <w:rFonts w:ascii="仿宋_GB2312" w:hAnsi="仿宋_GB2312" w:cs="仿宋_GB2312" w:eastAsia="仿宋_GB2312"/>
              </w:rPr>
              <w:t>根据供应商对本项目的理解程度赋分，从目标、工作任务等方面进行描述，全面深入了解项目情况，完全满足磋商文件要求计[8-12]分；比较了解项目情况，基本满足磋商文件要求计[5-8)分；描述内容模糊混乱的计[1-5)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文件的要求，对供应商的实施方案、组织架构等的专业性、科学性和可操作性进行赋分，能在完全理解项目要求的基础上具有细致的服务方案，且专业性、科学性高，操作性强的计[8-12]分；基本满足项目要求，方案较详细、合理计[5-8)分；方案简单计[1-5)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工作流程:能够按照工作内容全面梳理项目实施阶段各工作流程，流程清晰、方法得当，可行性强，完全满足采购人的要求计[6-8]分； 基本能够按照工作内容全面梳理项目实施阶段各工作流程，流程基本清晰[3-6)分； 未按照工作内容梳理项目实施阶段各工作流程，流程不清晰、方法不得当，无可行性，计[1-3)分。未提供不计分。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制定科学、合理的工作进度计划，且具有质量保障、进度控制等技术组织措施，根据其响应程度，详细合理，完全满足磋商文件要求计[5-8]分，措施较合理，基本满足磋商文件要求计[3-5)分，笼统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针对本项目的重点难点分析及合理化建议，根据其响应程度及可实施性，详细合理，完全满足磋商文件要求计[5-8]分，建议较合理，基本满足磋商文件要求计[3-5)分，笼统简单计[1-3)分，未提供不计分。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[5-8]分，规划较合理，基本满足磋商文件要求计[3-5)分，笼统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①项目负责人（直接负责报告的主管人员）具有相关专业初级职称计2分，相关专业中级职称计4分，相关专业高级职称计6分。 未提供不计分。 ②人员配备与管理方案： 满足基本人员配备（除项目负责人外配备4人）得基本分4分，4人中每具有1个中级职称加2分，最多加4分。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①对本项目实施及协调过程有明确承诺，并承诺积极按照采购人提出的要求或意见改进工作，确保项目顺利实施，详细合理可得[3-5]分，笼统简单得[1-3)分，未提供不计分。 ②对于项目实施过程中出现突发状况，有具体可行的响应时限和应对措施，能保证项目质量并按时提交项目成果，详细合理可得[3-5]分，笼统简单得[1-3)分，未提供不计分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供应商提供近三年承担过（2022年7月1日起至今，以合同签订时间为准）同类项目业绩（业绩以合同为准），每提供一个有效业绩得2.5分，最高计至10分。注：提供合同复印件且加盖供应商公章。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详见附件：法人授权书或法人身份证明.docx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