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E7F88">
      <w:pPr>
        <w:pStyle w:val="2"/>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p>
    <w:p w14:paraId="2C46D22C">
      <w:pPr>
        <w:pStyle w:val="2"/>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p>
    <w:p w14:paraId="59EE7B12">
      <w:pPr>
        <w:pStyle w:val="2"/>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p>
    <w:p w14:paraId="1B98AAD0">
      <w:pPr>
        <w:pStyle w:val="2"/>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r>
        <w:rPr>
          <w:rFonts w:hint="eastAsia" w:ascii="仿宋" w:hAnsi="仿宋" w:eastAsia="仿宋" w:cs="仿宋"/>
          <w:b/>
          <w:bCs/>
          <w:spacing w:val="-7"/>
          <w:sz w:val="52"/>
          <w:szCs w:val="52"/>
          <w:highlight w:val="none"/>
          <w:lang w:eastAsia="zh-CN"/>
        </w:rPr>
        <w:t>西安航天城中心幼儿园物业服务采购</w:t>
      </w:r>
    </w:p>
    <w:p w14:paraId="27BF4D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3EBAF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46A030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40"/>
          <w:szCs w:val="40"/>
          <w:highlight w:val="none"/>
        </w:rPr>
      </w:pPr>
    </w:p>
    <w:p w14:paraId="0A5832E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40"/>
          <w:szCs w:val="40"/>
          <w:highlight w:val="none"/>
        </w:rPr>
      </w:pPr>
      <w:r>
        <w:rPr>
          <w:rFonts w:hint="eastAsia" w:ascii="仿宋" w:hAnsi="仿宋" w:eastAsia="仿宋" w:cs="仿宋"/>
          <w:b/>
          <w:bCs/>
          <w:spacing w:val="-5"/>
          <w:position w:val="-2"/>
          <w:sz w:val="40"/>
          <w:szCs w:val="40"/>
          <w:highlight w:val="none"/>
          <w:lang w:eastAsia="zh-CN"/>
        </w:rPr>
        <w:t>（</w:t>
      </w:r>
      <w:r>
        <w:rPr>
          <w:rFonts w:hint="eastAsia" w:ascii="仿宋" w:hAnsi="仿宋" w:eastAsia="仿宋" w:cs="仿宋"/>
          <w:b/>
          <w:bCs/>
          <w:spacing w:val="-5"/>
          <w:position w:val="-2"/>
          <w:sz w:val="40"/>
          <w:szCs w:val="40"/>
          <w:highlight w:val="none"/>
        </w:rPr>
        <w:t>项目编号：</w:t>
      </w:r>
      <w:r>
        <w:rPr>
          <w:rFonts w:hint="eastAsia" w:ascii="仿宋" w:hAnsi="仿宋" w:eastAsia="仿宋" w:cs="仿宋"/>
          <w:b/>
          <w:bCs/>
          <w:spacing w:val="-5"/>
          <w:position w:val="-2"/>
          <w:sz w:val="40"/>
          <w:szCs w:val="40"/>
          <w:highlight w:val="none"/>
          <w:lang w:val="en-US" w:eastAsia="zh-CN"/>
        </w:rPr>
        <w:t xml:space="preserve">   </w:t>
      </w:r>
      <w:r>
        <w:rPr>
          <w:rFonts w:hint="eastAsia" w:ascii="仿宋" w:hAnsi="仿宋" w:eastAsia="仿宋" w:cs="仿宋"/>
          <w:b/>
          <w:bCs/>
          <w:spacing w:val="-5"/>
          <w:position w:val="-2"/>
          <w:sz w:val="40"/>
          <w:szCs w:val="40"/>
          <w:highlight w:val="none"/>
          <w:lang w:eastAsia="zh-CN"/>
        </w:rPr>
        <w:t>）</w:t>
      </w:r>
    </w:p>
    <w:p w14:paraId="02DD55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2A5B615">
      <w:pPr>
        <w:pStyle w:val="2"/>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b/>
          <w:bCs/>
          <w:spacing w:val="-23"/>
          <w:sz w:val="28"/>
          <w:szCs w:val="28"/>
          <w:highlight w:val="none"/>
        </w:rPr>
      </w:pPr>
    </w:p>
    <w:p w14:paraId="2B389E56">
      <w:pPr>
        <w:pStyle w:val="2"/>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rPr>
        <w:t>甲  方：</w:t>
      </w:r>
      <w:r>
        <w:rPr>
          <w:rFonts w:hint="eastAsia" w:ascii="仿宋" w:hAnsi="仿宋" w:eastAsia="仿宋" w:cs="仿宋"/>
          <w:b/>
          <w:bCs/>
          <w:sz w:val="28"/>
          <w:szCs w:val="28"/>
          <w:highlight w:val="none"/>
          <w:u w:val="single"/>
          <w:lang w:eastAsia="zh-CN"/>
        </w:rPr>
        <w:t>西安航天城中心幼儿园</w:t>
      </w:r>
    </w:p>
    <w:p w14:paraId="4281840D">
      <w:pPr>
        <w:pStyle w:val="2"/>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乙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方：</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 xml:space="preserve">    </w:t>
      </w:r>
    </w:p>
    <w:p w14:paraId="2A029895">
      <w:pPr>
        <w:pStyle w:val="2"/>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1082E4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8"/>
          <w:szCs w:val="28"/>
          <w:highlight w:val="none"/>
        </w:rPr>
      </w:pPr>
    </w:p>
    <w:p w14:paraId="424CEFCE">
      <w:pPr>
        <w:pStyle w:val="2"/>
        <w:keepNext w:val="0"/>
        <w:keepLines w:val="0"/>
        <w:pageBreakBefore w:val="0"/>
        <w:widowControl/>
        <w:tabs>
          <w:tab w:val="left" w:pos="735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pacing w:val="7"/>
          <w:sz w:val="28"/>
          <w:szCs w:val="28"/>
          <w:highlight w:val="none"/>
        </w:rPr>
      </w:pPr>
      <w:r>
        <w:rPr>
          <w:rFonts w:hint="eastAsia" w:ascii="仿宋" w:hAnsi="仿宋" w:eastAsia="仿宋" w:cs="仿宋"/>
          <w:b/>
          <w:bCs/>
          <w:spacing w:val="35"/>
          <w:sz w:val="28"/>
          <w:szCs w:val="28"/>
          <w:highlight w:val="none"/>
        </w:rPr>
        <w:t>202</w:t>
      </w:r>
      <w:r>
        <w:rPr>
          <w:rFonts w:hint="eastAsia" w:ascii="仿宋" w:hAnsi="仿宋" w:eastAsia="仿宋" w:cs="仿宋"/>
          <w:b/>
          <w:bCs/>
          <w:spacing w:val="35"/>
          <w:sz w:val="28"/>
          <w:szCs w:val="28"/>
          <w:highlight w:val="none"/>
          <w:lang w:val="en-US" w:eastAsia="zh-CN"/>
        </w:rPr>
        <w:t>5</w:t>
      </w:r>
      <w:r>
        <w:rPr>
          <w:rFonts w:hint="eastAsia" w:ascii="仿宋" w:hAnsi="仿宋" w:eastAsia="仿宋" w:cs="仿宋"/>
          <w:b/>
          <w:bCs/>
          <w:spacing w:val="35"/>
          <w:sz w:val="28"/>
          <w:szCs w:val="28"/>
          <w:highlight w:val="none"/>
        </w:rPr>
        <w:t>年</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月</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日</w:t>
      </w:r>
    </w:p>
    <w:p w14:paraId="0C5799C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28"/>
          <w:szCs w:val="28"/>
          <w:highlight w:val="none"/>
        </w:rPr>
      </w:pPr>
      <w:r>
        <w:rPr>
          <w:rFonts w:hint="eastAsia" w:ascii="仿宋" w:hAnsi="仿宋" w:eastAsia="仿宋" w:cs="仿宋"/>
          <w:b/>
          <w:bCs/>
          <w:spacing w:val="36"/>
          <w:sz w:val="28"/>
          <w:szCs w:val="28"/>
          <w:highlight w:val="none"/>
        </w:rPr>
        <w:t>中国西安</w:t>
      </w:r>
    </w:p>
    <w:p w14:paraId="5921F605">
      <w:pPr>
        <w:pStyle w:val="2"/>
        <w:keepNext w:val="0"/>
        <w:keepLines w:val="0"/>
        <w:pageBreakBefore/>
        <w:widowControl w:val="0"/>
        <w:kinsoku w:val="0"/>
        <w:wordWrap/>
        <w:overflowPunct/>
        <w:topLinePunct w:val="0"/>
        <w:autoSpaceDE w:val="0"/>
        <w:autoSpaceDN w:val="0"/>
        <w:bidi w:val="0"/>
        <w:adjustRightInd w:val="0"/>
        <w:snapToGrid w:val="0"/>
        <w:spacing w:line="360" w:lineRule="auto"/>
        <w:ind w:left="0" w:leftChars="0" w:right="0" w:rightChars="0" w:firstLine="419" w:firstLineChars="160"/>
        <w:textAlignment w:val="baseline"/>
        <w:rPr>
          <w:rFonts w:hint="eastAsia" w:ascii="仿宋" w:hAnsi="仿宋" w:eastAsia="仿宋" w:cs="仿宋"/>
          <w:sz w:val="24"/>
          <w:szCs w:val="24"/>
          <w:highlight w:val="none"/>
          <w:lang w:eastAsia="zh-CN"/>
        </w:rPr>
      </w:pPr>
      <w:r>
        <w:rPr>
          <w:rFonts w:hint="eastAsia" w:ascii="仿宋" w:hAnsi="仿宋" w:eastAsia="仿宋" w:cs="仿宋"/>
          <w:spacing w:val="11"/>
          <w:sz w:val="24"/>
          <w:szCs w:val="24"/>
          <w:highlight w:val="none"/>
        </w:rPr>
        <w:t>甲方(采购人名称全称):</w:t>
      </w:r>
      <w:r>
        <w:rPr>
          <w:rFonts w:hint="eastAsia" w:ascii="仿宋" w:hAnsi="仿宋" w:eastAsia="仿宋" w:cs="仿宋"/>
          <w:spacing w:val="11"/>
          <w:sz w:val="24"/>
          <w:szCs w:val="24"/>
          <w:highlight w:val="none"/>
          <w:lang w:eastAsia="zh-CN"/>
        </w:rPr>
        <w:t>西安航天城中心幼儿园</w:t>
      </w:r>
    </w:p>
    <w:p w14:paraId="3AC624F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161"/>
        <w:textAlignment w:val="baseline"/>
        <w:rPr>
          <w:rFonts w:hint="eastAsia" w:ascii="仿宋" w:hAnsi="仿宋" w:eastAsia="仿宋" w:cs="仿宋"/>
          <w:spacing w:val="10"/>
          <w:sz w:val="24"/>
          <w:szCs w:val="24"/>
          <w:highlight w:val="none"/>
        </w:rPr>
      </w:pPr>
      <w:r>
        <w:rPr>
          <w:rFonts w:hint="eastAsia" w:ascii="仿宋" w:hAnsi="仿宋" w:eastAsia="仿宋" w:cs="仿宋"/>
          <w:spacing w:val="10"/>
          <w:sz w:val="24"/>
          <w:szCs w:val="24"/>
          <w:highlight w:val="none"/>
        </w:rPr>
        <w:t>乙方(供应商名称全称):</w:t>
      </w:r>
    </w:p>
    <w:p w14:paraId="4167E1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1"/>
          <w:sz w:val="24"/>
          <w:szCs w:val="24"/>
          <w:highlight w:val="none"/>
        </w:rPr>
        <w:t>一、服务条件：</w:t>
      </w:r>
    </w:p>
    <w:p w14:paraId="31996EB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lang w:eastAsia="zh-CN"/>
        </w:rPr>
        <w:t>（一）</w:t>
      </w:r>
      <w:r>
        <w:rPr>
          <w:rFonts w:hint="eastAsia" w:ascii="仿宋" w:hAnsi="仿宋" w:eastAsia="仿宋" w:cs="仿宋"/>
          <w:spacing w:val="-1"/>
          <w:sz w:val="24"/>
          <w:szCs w:val="24"/>
          <w:highlight w:val="none"/>
        </w:rPr>
        <w:t>服务地点：</w:t>
      </w:r>
      <w:r>
        <w:rPr>
          <w:rFonts w:hint="eastAsia" w:ascii="仿宋" w:hAnsi="仿宋" w:eastAsia="仿宋" w:cs="仿宋"/>
          <w:spacing w:val="-1"/>
          <w:sz w:val="24"/>
          <w:szCs w:val="24"/>
          <w:highlight w:val="none"/>
          <w:lang w:eastAsia="zh-CN"/>
        </w:rPr>
        <w:t>西安航天城中心幼儿园</w:t>
      </w:r>
    </w:p>
    <w:p w14:paraId="656C7A4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lang w:eastAsia="zh-CN"/>
        </w:rPr>
        <w:t>（二）</w:t>
      </w:r>
      <w:r>
        <w:rPr>
          <w:rFonts w:hint="eastAsia" w:ascii="仿宋" w:hAnsi="仿宋" w:eastAsia="仿宋" w:cs="仿宋"/>
          <w:spacing w:val="-1"/>
          <w:sz w:val="24"/>
          <w:szCs w:val="24"/>
          <w:highlight w:val="none"/>
        </w:rPr>
        <w:t>服务期限：</w:t>
      </w:r>
      <w:r>
        <w:rPr>
          <w:rFonts w:hint="eastAsia" w:ascii="仿宋" w:hAnsi="仿宋" w:eastAsia="仿宋" w:cs="仿宋"/>
          <w:spacing w:val="-1"/>
          <w:sz w:val="24"/>
          <w:szCs w:val="24"/>
          <w:highlight w:val="none"/>
          <w:lang w:eastAsia="zh-CN"/>
        </w:rPr>
        <w:t>自签订合同之日起两年，首次签订合同期限为一年；合同到期后，中标单位无重大</w:t>
      </w:r>
      <w:r>
        <w:rPr>
          <w:rFonts w:hint="eastAsia" w:ascii="仿宋" w:hAnsi="仿宋" w:eastAsia="仿宋" w:cs="仿宋"/>
          <w:spacing w:val="-1"/>
          <w:sz w:val="24"/>
          <w:szCs w:val="24"/>
          <w:highlight w:val="none"/>
          <w:lang w:val="en-US" w:eastAsia="zh-CN"/>
        </w:rPr>
        <w:t>安全、质量</w:t>
      </w:r>
      <w:bookmarkStart w:id="0" w:name="_GoBack"/>
      <w:bookmarkEnd w:id="0"/>
      <w:r>
        <w:rPr>
          <w:rFonts w:hint="eastAsia" w:ascii="仿宋" w:hAnsi="仿宋" w:eastAsia="仿宋" w:cs="仿宋"/>
          <w:spacing w:val="-1"/>
          <w:sz w:val="24"/>
          <w:szCs w:val="24"/>
          <w:highlight w:val="none"/>
          <w:lang w:eastAsia="zh-CN"/>
        </w:rPr>
        <w:t>问题，招标人对服务满意，续签下一年合同。</w:t>
      </w:r>
    </w:p>
    <w:p w14:paraId="054721A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9"/>
          <w:sz w:val="24"/>
          <w:szCs w:val="24"/>
          <w:highlight w:val="none"/>
        </w:rPr>
        <w:t>二、合同价款</w:t>
      </w:r>
    </w:p>
    <w:p w14:paraId="1F1646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 xml:space="preserve">(一)合同总价款为人民币(大写) </w:t>
      </w:r>
      <w:r>
        <w:rPr>
          <w:rFonts w:hint="eastAsia" w:ascii="仿宋" w:hAnsi="仿宋" w:eastAsia="仿宋" w:cs="仿宋"/>
          <w:spacing w:val="-2"/>
          <w:sz w:val="24"/>
          <w:szCs w:val="24"/>
          <w:highlight w:val="none"/>
          <w:u w:val="single" w:color="auto"/>
          <w:lang w:val="en-US" w:eastAsia="zh-CN"/>
        </w:rPr>
        <w:t xml:space="preserve">        </w:t>
      </w:r>
      <w:r>
        <w:rPr>
          <w:rFonts w:hint="eastAsia" w:ascii="仿宋" w:hAnsi="仿宋" w:eastAsia="仿宋" w:cs="仿宋"/>
          <w:spacing w:val="-2"/>
          <w:sz w:val="24"/>
          <w:szCs w:val="24"/>
          <w:highlight w:val="none"/>
        </w:rPr>
        <w:t>；</w:t>
      </w:r>
      <w:r>
        <w:rPr>
          <w:rFonts w:hint="eastAsia" w:ascii="仿宋" w:hAnsi="仿宋" w:eastAsia="仿宋" w:cs="仿宋"/>
          <w:spacing w:val="-2"/>
          <w:sz w:val="24"/>
          <w:szCs w:val="24"/>
          <w:highlight w:val="none"/>
          <w:u w:val="single" w:color="auto"/>
        </w:rPr>
        <w:t>¥</w:t>
      </w:r>
      <w:r>
        <w:rPr>
          <w:rFonts w:hint="eastAsia" w:ascii="仿宋" w:hAnsi="仿宋" w:eastAsia="仿宋" w:cs="仿宋"/>
          <w:spacing w:val="-2"/>
          <w:sz w:val="24"/>
          <w:szCs w:val="24"/>
          <w:highlight w:val="none"/>
          <w:u w:val="single" w:color="auto"/>
          <w:lang w:val="en-US" w:eastAsia="zh-CN"/>
        </w:rPr>
        <w:t xml:space="preserve">         </w:t>
      </w:r>
      <w:r>
        <w:rPr>
          <w:rFonts w:hint="eastAsia" w:ascii="仿宋" w:hAnsi="仿宋" w:eastAsia="仿宋" w:cs="仿宋"/>
          <w:spacing w:val="-3"/>
          <w:sz w:val="24"/>
          <w:szCs w:val="24"/>
          <w:highlight w:val="none"/>
        </w:rPr>
        <w:t>元。</w:t>
      </w:r>
    </w:p>
    <w:p w14:paraId="72A778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合同总价：包括但不限于人工工资，社保，劳保，福利，工服，办公物资、保洁耗材、绿化及工程工具耗材、保安警用器械及其他物业服务所需物资，管理运营，利润，税金，及政策性文件规定的各项费用等承包计价的一切费用。所有人员应统一配备工服，包括工作帽、春秋装、夏装、冬装等，工装式样及颜色报备采购单位审核。</w:t>
      </w:r>
    </w:p>
    <w:p w14:paraId="1FEB73B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(三)合同总价一次性包死，不受市场价格变化因素的影响。</w:t>
      </w:r>
    </w:p>
    <w:p w14:paraId="66EA299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4"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7"/>
          <w:sz w:val="24"/>
          <w:szCs w:val="24"/>
          <w:highlight w:val="none"/>
        </w:rPr>
        <w:t>三、款项结算</w:t>
      </w:r>
    </w:p>
    <w:p w14:paraId="37DD1E12">
      <w:pPr>
        <w:pStyle w:val="5"/>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（一）支付方式:银行转账。</w:t>
      </w:r>
    </w:p>
    <w:p w14:paraId="2F0F24B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（二）结算方式:</w:t>
      </w:r>
    </w:p>
    <w:p w14:paraId="4D295E6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1.付款时间:每月末考评结束后同时乙方应向甲方出具发票及考核相关资料。</w:t>
      </w:r>
    </w:p>
    <w:p w14:paraId="08F9DA8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2.付款方式:以银行转账的形式支付给乙方(如遇法定节日和休假日转账时间顺延)。</w:t>
      </w:r>
    </w:p>
    <w:p w14:paraId="47C83090">
      <w:pPr>
        <w:ind w:firstLine="480" w:firstLineChars="200"/>
        <w:rPr>
          <w:rFonts w:hint="default"/>
          <w:highlight w:val="none"/>
          <w:lang w:val="en-US" w:eastAsia="zh-CN"/>
        </w:rPr>
      </w:pPr>
      <w:r>
        <w:rPr>
          <w:rFonts w:hint="eastAsia" w:ascii="仿宋" w:hAnsi="仿宋" w:eastAsia="仿宋" w:cs="仿宋"/>
          <w:color w:val="auto"/>
          <w:sz w:val="24"/>
          <w:szCs w:val="24"/>
          <w:highlight w:val="none"/>
          <w:lang w:val="en-US" w:eastAsia="zh-CN"/>
        </w:rPr>
        <w:t>3.付款金额（按照实际中标结果平均计算，按月支付）</w:t>
      </w:r>
    </w:p>
    <w:p w14:paraId="27E2BBB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6"/>
          <w:sz w:val="24"/>
          <w:szCs w:val="24"/>
          <w:highlight w:val="none"/>
        </w:rPr>
        <w:t>四、管理服务人员配置标准</w:t>
      </w:r>
    </w:p>
    <w:p w14:paraId="56A1E27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服务内容包括但不限于安保服务、保洁服务、绿化服务、维修服务等。</w:t>
      </w:r>
    </w:p>
    <w:p w14:paraId="1843DFA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物业服务：建筑面积8390平方米，服务费标准3.32元/平方米/月；含保洁、水电维修等人员</w:t>
      </w:r>
      <w:r>
        <w:rPr>
          <w:rFonts w:hint="eastAsia" w:ascii="仿宋" w:hAnsi="仿宋" w:eastAsia="仿宋" w:cs="仿宋"/>
          <w:sz w:val="24"/>
          <w:szCs w:val="24"/>
          <w:highlight w:val="none"/>
          <w:lang w:eastAsia="zh-CN"/>
        </w:rPr>
        <w:t>，乙方根据项目实际情况合理安排人员，以确保甲方的实际需求。</w:t>
      </w:r>
    </w:p>
    <w:p w14:paraId="2D8AF0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保安服务：8人（含2名消防控制室值班员）。</w:t>
      </w:r>
    </w:p>
    <w:p w14:paraId="199881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注：其中消控人员需持中级消防设施操作员证书上岗</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保安人员年龄符合国家法定劳动年龄</w:t>
      </w:r>
      <w:r>
        <w:rPr>
          <w:rFonts w:hint="eastAsia" w:ascii="仿宋" w:hAnsi="仿宋" w:eastAsia="仿宋" w:cs="仿宋"/>
          <w:sz w:val="24"/>
          <w:szCs w:val="24"/>
          <w:highlight w:val="none"/>
        </w:rPr>
        <w:t>。</w:t>
      </w:r>
    </w:p>
    <w:p w14:paraId="5BA544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5"/>
          <w:sz w:val="24"/>
          <w:szCs w:val="24"/>
          <w:highlight w:val="none"/>
        </w:rPr>
        <w:t>五、服务内容</w:t>
      </w:r>
    </w:p>
    <w:p w14:paraId="7BC87FD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在幼儿园物业管理服务过程中，物业服务公司应严格依照国家建设部制定的物业管理创优考评的各项标准开展工作，使物业各项</w:t>
      </w:r>
      <w:r>
        <w:rPr>
          <w:rFonts w:hint="eastAsia" w:ascii="仿宋" w:hAnsi="仿宋" w:eastAsia="仿宋" w:cs="仿宋"/>
          <w:sz w:val="24"/>
          <w:szCs w:val="24"/>
          <w:highlight w:val="none"/>
          <w:lang w:val="en-US" w:eastAsia="zh-CN"/>
        </w:rPr>
        <w:t>设备</w:t>
      </w:r>
      <w:r>
        <w:rPr>
          <w:rFonts w:hint="eastAsia" w:ascii="仿宋" w:hAnsi="仿宋" w:eastAsia="仿宋" w:cs="仿宋"/>
          <w:sz w:val="24"/>
          <w:szCs w:val="24"/>
          <w:highlight w:val="none"/>
        </w:rPr>
        <w:t>使用功能正常，使物业各项工作有条不紊</w:t>
      </w:r>
      <w:r>
        <w:rPr>
          <w:rFonts w:hint="eastAsia" w:ascii="仿宋" w:hAnsi="仿宋" w:eastAsia="仿宋" w:cs="仿宋"/>
          <w:sz w:val="24"/>
          <w:szCs w:val="24"/>
          <w:highlight w:val="none"/>
          <w:lang w:eastAsia="zh-CN"/>
        </w:rPr>
        <w:t>地</w:t>
      </w:r>
      <w:r>
        <w:rPr>
          <w:rFonts w:hint="eastAsia" w:ascii="仿宋" w:hAnsi="仿宋" w:eastAsia="仿宋" w:cs="仿宋"/>
          <w:sz w:val="24"/>
          <w:szCs w:val="24"/>
          <w:highlight w:val="none"/>
        </w:rPr>
        <w:t>开展。深化管理服务，提高物业管理服务水平，提升物业管理服务形象，为广大师幼提供舒适、安全、宁静的学习、生活环境。</w:t>
      </w:r>
    </w:p>
    <w:p w14:paraId="027FE6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（1）消防管理：严格遵守有关消防管理，年检完好率100%，确保无责任性消防事故。</w:t>
      </w:r>
    </w:p>
    <w:p w14:paraId="1FE6D7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（2）安全防范：管理范围内治安案件</w:t>
      </w:r>
      <w:r>
        <w:rPr>
          <w:rFonts w:hint="eastAsia" w:ascii="仿宋" w:hAnsi="仿宋" w:eastAsia="仿宋" w:cs="仿宋"/>
          <w:sz w:val="24"/>
          <w:szCs w:val="24"/>
          <w:highlight w:val="none"/>
          <w:lang w:eastAsia="zh-CN"/>
        </w:rPr>
        <w:t>发生</w:t>
      </w:r>
      <w:r>
        <w:rPr>
          <w:rFonts w:hint="eastAsia" w:ascii="仿宋" w:hAnsi="仿宋" w:eastAsia="仿宋" w:cs="仿宋"/>
          <w:sz w:val="24"/>
          <w:szCs w:val="24"/>
          <w:highlight w:val="none"/>
        </w:rPr>
        <w:t>率为零，无任何管理责任性事故发生。</w:t>
      </w:r>
    </w:p>
    <w:p w14:paraId="7727213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（3）环境卫生实行动态保洁、定期消毒、确保环境卫生满意率在95%以上。</w:t>
      </w:r>
    </w:p>
    <w:p w14:paraId="659CF8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房屋及公共配套设施报修及时率100%以上。</w:t>
      </w:r>
    </w:p>
    <w:p w14:paraId="2EADC9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（4）除因基建质量、设备质量在保养期内等特殊原因外，楼内及配套设施、机电设施设备完好率95%以上。</w:t>
      </w:r>
    </w:p>
    <w:p w14:paraId="1E732F0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eastAsia="zh-CN"/>
        </w:rPr>
        <w:t>管理服务人员</w:t>
      </w:r>
      <w:r>
        <w:rPr>
          <w:rFonts w:hint="eastAsia" w:ascii="仿宋" w:hAnsi="仿宋" w:eastAsia="仿宋" w:cs="仿宋"/>
          <w:sz w:val="24"/>
          <w:szCs w:val="24"/>
          <w:highlight w:val="none"/>
        </w:rPr>
        <w:t>持有相应的保安证、健康证、中级消防设施操作员证书、电工证、电梯安全管理员证，专业培训合格率达100%。</w:t>
      </w:r>
    </w:p>
    <w:p w14:paraId="08453A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（6）管理服务工作服从幼儿园的管理监督和指导，积极配合园内各部门开展各项工作。</w:t>
      </w:r>
    </w:p>
    <w:p w14:paraId="5617BDC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（7）幼儿园对物业管理服务满意率在9</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%以上。</w:t>
      </w:r>
    </w:p>
    <w:p w14:paraId="68FBC7D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（8）有效投诉率低于1%。</w:t>
      </w:r>
    </w:p>
    <w:p w14:paraId="71FD168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（9）有效投诉处理率达100%。</w:t>
      </w:r>
    </w:p>
    <w:p w14:paraId="3CA9E6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严格遵守国家的</w:t>
      </w:r>
      <w:r>
        <w:rPr>
          <w:rFonts w:hint="eastAsia" w:ascii="仿宋" w:hAnsi="仿宋" w:eastAsia="仿宋" w:cs="仿宋"/>
          <w:sz w:val="24"/>
          <w:szCs w:val="24"/>
          <w:highlight w:val="none"/>
          <w:lang w:eastAsia="zh-CN"/>
        </w:rPr>
        <w:t>法律法规</w:t>
      </w:r>
      <w:r>
        <w:rPr>
          <w:rFonts w:hint="eastAsia" w:ascii="仿宋" w:hAnsi="仿宋" w:eastAsia="仿宋" w:cs="仿宋"/>
          <w:sz w:val="24"/>
          <w:szCs w:val="24"/>
          <w:highlight w:val="none"/>
        </w:rPr>
        <w:t>、条例以及政府部门的各项管理规定。科学、规范管理，全面推行质量管理体系，服务热情、周到，建立现代化、人性化管理服务体系。</w:t>
      </w:r>
    </w:p>
    <w:p w14:paraId="55F7A9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建立严格、规范的消防、公共秩序应急体系，确保物业管理工作万无一失。</w:t>
      </w:r>
    </w:p>
    <w:p w14:paraId="2C90865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严格认真推行并实施人性化服务，达到细致、周到、真诚、规范的服务要求，每月对全体人员进行量化考核，定期向教职工和幼儿发放物业管理服务满意度调查表，对合理的建议及时整改，努力提高广大师幼的满意度。</w:t>
      </w:r>
    </w:p>
    <w:p w14:paraId="2F42920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建立服务人员与园内师幼的沟通机制，推行亲情服务。</w:t>
      </w:r>
    </w:p>
    <w:p w14:paraId="10F9603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严格执行</w:t>
      </w:r>
      <w:r>
        <w:rPr>
          <w:rFonts w:hint="eastAsia" w:ascii="仿宋" w:hAnsi="仿宋" w:eastAsia="仿宋" w:cs="仿宋"/>
          <w:sz w:val="24"/>
          <w:szCs w:val="24"/>
          <w:highlight w:val="none"/>
        </w:rPr>
        <w:t>24小时值班制度，公示物业公司24小时服务电话。</w:t>
      </w:r>
    </w:p>
    <w:p w14:paraId="07A8B9D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提高优质环境保障，加大清洁管理力度。确保卫生状况良好，执行西安市城市管理委员会办公室关于印发《关于开展生活垃圾分类示范校园示范小区示范单位创建活动的通知》。引导师幼及园内其他工作人员对垃圾进行四分类投放，做好垃圾分类的宣传，做好与分类垃圾收运单位的收运衔接工作，确保分类垃圾规范、有序收运，做到日产日清。定期进行消毒，使校园保持洁净、舒适。制定完善系统的培训计划，切实提高员工队伍的整体素质，确保持证上岗率达100%。</w:t>
      </w:r>
    </w:p>
    <w:p w14:paraId="6AE030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按照保健医的各项卫生消毒制度，对全园公共区域进行卫生消毒，达到规定要求。</w:t>
      </w:r>
    </w:p>
    <w:p w14:paraId="0529E8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9"/>
          <w:sz w:val="24"/>
          <w:szCs w:val="24"/>
          <w:highlight w:val="none"/>
        </w:rPr>
        <w:t>六</w:t>
      </w:r>
      <w:r>
        <w:rPr>
          <w:rFonts w:hint="eastAsia" w:ascii="仿宋" w:hAnsi="仿宋" w:eastAsia="仿宋" w:cs="仿宋"/>
          <w:spacing w:val="-52"/>
          <w:sz w:val="24"/>
          <w:szCs w:val="24"/>
          <w:highlight w:val="none"/>
        </w:rPr>
        <w:t xml:space="preserve"> </w:t>
      </w:r>
      <w:r>
        <w:rPr>
          <w:rFonts w:hint="eastAsia" w:ascii="仿宋" w:hAnsi="仿宋" w:eastAsia="仿宋" w:cs="仿宋"/>
          <w:b/>
          <w:bCs/>
          <w:spacing w:val="-19"/>
          <w:sz w:val="24"/>
          <w:szCs w:val="24"/>
          <w:highlight w:val="none"/>
        </w:rPr>
        <w:t>、双方的权利和义务</w:t>
      </w:r>
    </w:p>
    <w:p w14:paraId="320064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81F5FB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1.审核乙方拟定的工作计划及规章制度、物业管理服务方案、人员配备、各项物料及设备的配备。</w:t>
      </w:r>
    </w:p>
    <w:p w14:paraId="169AA49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2.对校园内的一切公共设施及设备享有所有权，并对所属资产的保护、使用和监督权。</w:t>
      </w:r>
    </w:p>
    <w:p w14:paraId="511389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 有权对乙方管理服务的质量进行监督，对不符合质量标准的管理服务有权建议整改，对不称职人员可以要求乙方更换。</w:t>
      </w:r>
    </w:p>
    <w:p w14:paraId="333BBA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4.为乙方的管理服务提供必要的工作条件及所必需的相关资料，包括办公用房、设备工具库房(含相关工具、物料)、员工更衣及休息场所等设施和涉及 本物业管理服务所需的验收图纸、资料等。为乙方的物业管理服务提供相应的协助和配合，但不提供食宿条件。</w:t>
      </w:r>
    </w:p>
    <w:p w14:paraId="6F9CA5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5.定期组织对乙方服务质量的考核、收集意见和意见，并将结果及时通报乙方。</w:t>
      </w:r>
    </w:p>
    <w:p w14:paraId="733C04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6.有义务督促乙方加强物业管理、设备管理与服务过程中的安全管理。</w:t>
      </w:r>
    </w:p>
    <w:p w14:paraId="7B4F9E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 按照合同付款、结算约定向乙方支付管理与服务费用。</w:t>
      </w:r>
    </w:p>
    <w:p w14:paraId="12FD24D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8.负责了解掌握乙方经费运行情况，对违反财务规定的行为提出意见。</w:t>
      </w:r>
    </w:p>
    <w:p w14:paraId="6AA6F46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9.根据完成物业管理的优劣向乙方提出奖励和处罚决定。</w:t>
      </w:r>
    </w:p>
    <w:p w14:paraId="2641E6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10.为乙方有效开展工作提供其他必要的便利。</w:t>
      </w:r>
    </w:p>
    <w:p w14:paraId="701876D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11.对乙方工作人员在工作中发生的不文明行为，甲方有权采取措施制止，若因此造成不良后果，追究乙方及直接责任人的责任。</w:t>
      </w:r>
    </w:p>
    <w:p w14:paraId="4C75B4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12. 按法律规定或经双方商定由甲方承担的其他责任和义务。</w:t>
      </w:r>
    </w:p>
    <w:p w14:paraId="07A7970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41A322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根据有关</w:t>
      </w:r>
      <w:r>
        <w:rPr>
          <w:rFonts w:hint="eastAsia" w:ascii="仿宋" w:hAnsi="仿宋" w:eastAsia="仿宋" w:cs="仿宋"/>
          <w:sz w:val="24"/>
          <w:szCs w:val="24"/>
          <w:highlight w:val="none"/>
          <w:lang w:eastAsia="zh-CN"/>
        </w:rPr>
        <w:t>法律法规</w:t>
      </w:r>
      <w:r>
        <w:rPr>
          <w:rFonts w:hint="eastAsia" w:ascii="仿宋" w:hAnsi="仿宋" w:eastAsia="仿宋" w:cs="仿宋"/>
          <w:sz w:val="24"/>
          <w:szCs w:val="24"/>
          <w:highlight w:val="none"/>
        </w:rPr>
        <w:t>政策及本合同的规定，制订该物业的各项管理办法、规章制度、服务实施方案、实施细则、人员物料和设备配备</w:t>
      </w:r>
      <w:r>
        <w:rPr>
          <w:rFonts w:hint="eastAsia" w:ascii="仿宋" w:hAnsi="仿宋" w:eastAsia="仿宋" w:cs="仿宋"/>
          <w:sz w:val="24"/>
          <w:szCs w:val="24"/>
          <w:highlight w:val="none"/>
          <w:lang w:val="en-US" w:eastAsia="zh-CN"/>
        </w:rPr>
        <w:t>及年度学期月度工作</w:t>
      </w:r>
      <w:r>
        <w:rPr>
          <w:rFonts w:hint="eastAsia" w:ascii="仿宋" w:hAnsi="仿宋" w:eastAsia="仿宋" w:cs="仿宋"/>
          <w:sz w:val="24"/>
          <w:szCs w:val="24"/>
          <w:highlight w:val="none"/>
        </w:rPr>
        <w:t>计划，并报送甲方审定后实施。</w:t>
      </w:r>
    </w:p>
    <w:p w14:paraId="43C9788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2.按甲方的规定和要求及乙方的承诺，履行好物业管理服务的职责。</w:t>
      </w:r>
    </w:p>
    <w:p w14:paraId="475C04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3.向全校师生公布服务电话并提供24小时方便服务。</w:t>
      </w:r>
    </w:p>
    <w:p w14:paraId="3E7D558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4.按合同内容保质保量地完成物业管理与服务工作。按文明校园建设标准保持学校的花园式单位及文明校园的称号。</w:t>
      </w:r>
    </w:p>
    <w:p w14:paraId="36FD8FC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5.对校内的公共设施及地面不得擅自占用或改变其使用功能，如需要改变应经甲方同意后方可实施。</w:t>
      </w:r>
    </w:p>
    <w:p w14:paraId="3D47A85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 定期向甲方通报工作情况，对甲方提出的合理的整改意见</w:t>
      </w:r>
      <w:r>
        <w:rPr>
          <w:rFonts w:hint="eastAsia" w:ascii="仿宋" w:hAnsi="仿宋" w:eastAsia="仿宋" w:cs="仿宋"/>
          <w:sz w:val="24"/>
          <w:szCs w:val="24"/>
          <w:highlight w:val="none"/>
          <w:lang w:eastAsia="zh-CN"/>
        </w:rPr>
        <w:t>及时</w:t>
      </w:r>
      <w:r>
        <w:rPr>
          <w:rFonts w:hint="eastAsia" w:ascii="仿宋" w:hAnsi="仿宋" w:eastAsia="仿宋" w:cs="仿宋"/>
          <w:sz w:val="24"/>
          <w:szCs w:val="24"/>
          <w:highlight w:val="none"/>
        </w:rPr>
        <w:t>纠正。</w:t>
      </w:r>
    </w:p>
    <w:p w14:paraId="3CA524F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 按管理服务的总体方案和响应文件中明确的人数及各项细则配备得力人员，定期开展培训，确保所配备人员具备与岗位要求相适应的业务素质和工作技能。</w:t>
      </w:r>
    </w:p>
    <w:p w14:paraId="60933F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8.保证从事本物业管理项目的人员具备相应的职业水平和应有的素质要求。如需调整管理人员及技术骨干应事先通报甲方，对甲方提出认为不适合的在岗人员，乙方应作出相应调整。</w:t>
      </w:r>
    </w:p>
    <w:p w14:paraId="7BCD139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必须与</w:t>
      </w:r>
      <w:r>
        <w:rPr>
          <w:rFonts w:hint="eastAsia" w:ascii="仿宋" w:hAnsi="仿宋" w:eastAsia="仿宋" w:cs="仿宋"/>
          <w:sz w:val="24"/>
          <w:szCs w:val="24"/>
          <w:highlight w:val="none"/>
          <w:lang w:val="en-US" w:eastAsia="zh-CN"/>
        </w:rPr>
        <w:t>其派驻幼儿园</w:t>
      </w:r>
      <w:r>
        <w:rPr>
          <w:rFonts w:hint="eastAsia" w:ascii="仿宋" w:hAnsi="仿宋" w:eastAsia="仿宋" w:cs="仿宋"/>
          <w:sz w:val="24"/>
          <w:szCs w:val="24"/>
          <w:highlight w:val="none"/>
        </w:rPr>
        <w:t>的全体</w:t>
      </w:r>
      <w:r>
        <w:rPr>
          <w:rFonts w:hint="eastAsia" w:ascii="仿宋" w:hAnsi="仿宋" w:eastAsia="仿宋" w:cs="仿宋"/>
          <w:sz w:val="24"/>
          <w:szCs w:val="24"/>
          <w:highlight w:val="none"/>
          <w:lang w:val="en-US" w:eastAsia="zh-CN"/>
        </w:rPr>
        <w:t>工作</w:t>
      </w:r>
      <w:r>
        <w:rPr>
          <w:rFonts w:hint="eastAsia" w:ascii="仿宋" w:hAnsi="仿宋" w:eastAsia="仿宋" w:cs="仿宋"/>
          <w:sz w:val="24"/>
          <w:szCs w:val="24"/>
          <w:highlight w:val="none"/>
        </w:rPr>
        <w:t>人员签订劳动合同</w:t>
      </w:r>
      <w:r>
        <w:rPr>
          <w:rFonts w:hint="eastAsia" w:ascii="仿宋" w:hAnsi="仿宋" w:eastAsia="仿宋" w:cs="仿宋"/>
          <w:sz w:val="24"/>
          <w:szCs w:val="24"/>
          <w:highlight w:val="none"/>
          <w:lang w:val="en-US" w:eastAsia="zh-CN"/>
        </w:rPr>
        <w:t>或合法用工协议</w:t>
      </w:r>
      <w:r>
        <w:rPr>
          <w:rFonts w:hint="eastAsia" w:ascii="仿宋" w:hAnsi="仿宋" w:eastAsia="仿宋" w:cs="仿宋"/>
          <w:sz w:val="24"/>
          <w:szCs w:val="24"/>
          <w:highlight w:val="none"/>
        </w:rPr>
        <w:t>，并报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备案。</w:t>
      </w:r>
      <w:r>
        <w:rPr>
          <w:rFonts w:hint="eastAsia" w:ascii="仿宋" w:hAnsi="仿宋" w:eastAsia="仿宋" w:cs="仿宋"/>
          <w:sz w:val="24"/>
          <w:szCs w:val="24"/>
          <w:highlight w:val="none"/>
          <w:lang w:val="en-US" w:eastAsia="zh-CN"/>
        </w:rPr>
        <w:t>同时</w:t>
      </w:r>
      <w:r>
        <w:rPr>
          <w:rFonts w:hint="eastAsia" w:ascii="仿宋" w:hAnsi="仿宋" w:eastAsia="仿宋" w:cs="仿宋"/>
          <w:sz w:val="24"/>
          <w:szCs w:val="24"/>
          <w:highlight w:val="none"/>
        </w:rPr>
        <w:t>按国家规定具备相关工种的上岗证和“健康证”条件，并按国家有关部门规定，定期组织体检且有年审合格记录。</w:t>
      </w:r>
    </w:p>
    <w:p w14:paraId="11E1C6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10.</w:t>
      </w:r>
      <w:r>
        <w:rPr>
          <w:rFonts w:hint="eastAsia" w:ascii="仿宋" w:hAnsi="仿宋" w:eastAsia="仿宋" w:cs="仿宋"/>
          <w:sz w:val="24"/>
          <w:szCs w:val="24"/>
          <w:highlight w:val="none"/>
          <w:lang w:val="en-US" w:eastAsia="zh-CN"/>
        </w:rPr>
        <w:t>甲方与乙方工作人员不构成任何劳动关系或劳务雇佣关系，乙方应</w:t>
      </w:r>
      <w:r>
        <w:rPr>
          <w:rFonts w:hint="eastAsia" w:ascii="仿宋" w:hAnsi="仿宋" w:eastAsia="仿宋" w:cs="仿宋"/>
          <w:sz w:val="24"/>
          <w:szCs w:val="24"/>
          <w:highlight w:val="none"/>
        </w:rPr>
        <w:t>认真执行国家有关规定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如西安市最低工资标准或其他国家劳动合同制度及劳务用工制度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w:t>
      </w:r>
    </w:p>
    <w:p w14:paraId="3BE664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11.</w:t>
      </w:r>
      <w:r>
        <w:rPr>
          <w:rFonts w:hint="eastAsia" w:ascii="仿宋" w:hAnsi="仿宋" w:eastAsia="仿宋" w:cs="仿宋"/>
          <w:sz w:val="24"/>
          <w:szCs w:val="24"/>
          <w:highlight w:val="none"/>
        </w:rPr>
        <w:t>严格遵守各项安全制度和操作规程，加强对员工的安全教育，凡发生设备损坏和人员损伤等事故，以及员工生病、事故、伤残、死亡和</w:t>
      </w:r>
      <w:r>
        <w:rPr>
          <w:rFonts w:hint="eastAsia" w:ascii="仿宋" w:hAnsi="仿宋" w:eastAsia="仿宋" w:cs="仿宋"/>
          <w:sz w:val="24"/>
          <w:szCs w:val="24"/>
          <w:highlight w:val="none"/>
          <w:lang w:val="en-US" w:eastAsia="zh-CN"/>
        </w:rPr>
        <w:t>其他劳动争议纠纷</w:t>
      </w:r>
      <w:r>
        <w:rPr>
          <w:rFonts w:hint="eastAsia" w:ascii="仿宋" w:hAnsi="仿宋" w:eastAsia="仿宋" w:cs="仿宋"/>
          <w:sz w:val="24"/>
          <w:szCs w:val="24"/>
          <w:highlight w:val="none"/>
        </w:rPr>
        <w:t>等，均由乙方</w:t>
      </w:r>
      <w:r>
        <w:rPr>
          <w:rFonts w:hint="eastAsia" w:ascii="仿宋" w:hAnsi="仿宋" w:eastAsia="仿宋" w:cs="仿宋"/>
          <w:sz w:val="24"/>
          <w:szCs w:val="24"/>
          <w:highlight w:val="none"/>
          <w:lang w:eastAsia="zh-CN"/>
        </w:rPr>
        <w:t>负责</w:t>
      </w:r>
      <w:r>
        <w:rPr>
          <w:rFonts w:hint="eastAsia" w:ascii="仿宋" w:hAnsi="仿宋" w:eastAsia="仿宋" w:cs="仿宋"/>
          <w:sz w:val="24"/>
          <w:szCs w:val="24"/>
          <w:highlight w:val="none"/>
        </w:rPr>
        <w:t xml:space="preserve">。  </w:t>
      </w:r>
    </w:p>
    <w:p w14:paraId="5F1F3E1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11.服务人员数量须满足甲方的实际工作要求，且穿着统一标识的工作服。</w:t>
      </w:r>
    </w:p>
    <w:p w14:paraId="662BC5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12.不得有违法纵容、煽动工人怠工、罢工等过激行为，或因无视工人权益引致工人有怠工、罢工等过激行为。自觉维护学校各项治安秩序，确保师生</w:t>
      </w:r>
      <w:r>
        <w:rPr>
          <w:rFonts w:hint="eastAsia" w:ascii="仿宋" w:hAnsi="仿宋" w:eastAsia="仿宋" w:cs="仿宋"/>
          <w:sz w:val="24"/>
          <w:szCs w:val="24"/>
          <w:highlight w:val="none"/>
          <w:lang w:eastAsia="zh-CN"/>
        </w:rPr>
        <w:t>安全</w:t>
      </w:r>
      <w:r>
        <w:rPr>
          <w:rFonts w:hint="eastAsia" w:ascii="仿宋" w:hAnsi="仿宋" w:eastAsia="仿宋" w:cs="仿宋"/>
          <w:sz w:val="24"/>
          <w:szCs w:val="24"/>
          <w:highlight w:val="none"/>
        </w:rPr>
        <w:t>。</w:t>
      </w:r>
    </w:p>
    <w:p w14:paraId="720E7BA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13.乙方对设备运行及维修所需的备品备件、物料、辅料等实行“先计划、 再采购”的实用</w:t>
      </w:r>
      <w:r>
        <w:rPr>
          <w:rFonts w:hint="eastAsia" w:ascii="仿宋" w:hAnsi="仿宋" w:eastAsia="仿宋" w:cs="仿宋"/>
          <w:sz w:val="24"/>
          <w:szCs w:val="24"/>
          <w:highlight w:val="none"/>
          <w:lang w:eastAsia="zh-CN"/>
        </w:rPr>
        <w:t>实践</w:t>
      </w:r>
      <w:r>
        <w:rPr>
          <w:rFonts w:hint="eastAsia" w:ascii="仿宋" w:hAnsi="仿宋" w:eastAsia="仿宋" w:cs="仿宋"/>
          <w:sz w:val="24"/>
          <w:szCs w:val="24"/>
          <w:highlight w:val="none"/>
        </w:rPr>
        <w:t>管理办法。其中对所采购备品备件、物料、辅料等必须符合国家有关部门的质量标准，有明确的生产厂家和品牌。</w:t>
      </w:r>
    </w:p>
    <w:p w14:paraId="3D182D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14.主动积极地配合甲方共同做好消防工作，对消防工作负有相关责任。 </w:t>
      </w:r>
    </w:p>
    <w:p w14:paraId="1518D2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15.建立各类物业的管理档案资料，定期向甲方报告。</w:t>
      </w:r>
    </w:p>
    <w:p w14:paraId="686E6FF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16.接受并积极配合甲方组织的定期考核、满意度调查等工作，并按甲方提出意见及时进行整改。</w:t>
      </w:r>
    </w:p>
    <w:p w14:paraId="1EF6A6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17.本项目合同不得转让。对管理服务涉及的专业性、技术性要求较高的工作内容，可另行委托第三方承担，但应得到甲方的书面同意。委托的工作内容仅限于分项内容，整体管理服务项目不得转让给第三方。</w:t>
      </w:r>
    </w:p>
    <w:p w14:paraId="5D1B1F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18.本合同终止时，如双方不再续签合同，乙方应向甲方提交物业管理总结报告。在约定时间内向甲方移交房屋、物料、设备、工具、档案和图纸资料；所有移交的内容都应有清单并由双方签收；全部手续完成后签署物业移交确认书。</w:t>
      </w:r>
    </w:p>
    <w:p w14:paraId="5C034C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2"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0"/>
          <w:sz w:val="24"/>
          <w:szCs w:val="24"/>
          <w:highlight w:val="none"/>
        </w:rPr>
        <w:t>七、质量保证</w:t>
      </w:r>
    </w:p>
    <w:p w14:paraId="63370FB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(一)保证所供物业管理服务期内的服务标准按照合同执行。</w:t>
      </w:r>
    </w:p>
    <w:p w14:paraId="4FE54CC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(二)服务方案和方式科学、可行，人员配置合理，全面满足要求。</w:t>
      </w:r>
    </w:p>
    <w:p w14:paraId="049A26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(三)符合国家有关服务规范要求，确保各项服务达到最佳运行效果。</w:t>
      </w:r>
    </w:p>
    <w:p w14:paraId="1DFABDB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八、违约责任</w:t>
      </w:r>
    </w:p>
    <w:p w14:paraId="7320134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(一)合同中未约定的，按《</w:t>
      </w:r>
      <w:r>
        <w:rPr>
          <w:rFonts w:hint="eastAsia" w:ascii="仿宋" w:hAnsi="仿宋" w:eastAsia="仿宋" w:cs="仿宋"/>
          <w:sz w:val="24"/>
          <w:szCs w:val="24"/>
          <w:highlight w:val="none"/>
          <w:lang w:eastAsia="zh-CN"/>
        </w:rPr>
        <w:t>中华人民共和国民法典</w:t>
      </w:r>
      <w:r>
        <w:rPr>
          <w:rFonts w:hint="eastAsia" w:ascii="仿宋" w:hAnsi="仿宋" w:eastAsia="仿宋" w:cs="仿宋"/>
          <w:sz w:val="24"/>
          <w:szCs w:val="24"/>
          <w:highlight w:val="none"/>
        </w:rPr>
        <w:t>》中的相关条款执行。</w:t>
      </w:r>
    </w:p>
    <w:p w14:paraId="561D42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(二)未按合同要求提供服务或服务质量不能满足合同要求，</w:t>
      </w:r>
      <w:r>
        <w:rPr>
          <w:rFonts w:hint="eastAsia" w:ascii="仿宋" w:hAnsi="仿宋" w:eastAsia="仿宋" w:cs="仿宋"/>
          <w:sz w:val="24"/>
          <w:szCs w:val="24"/>
          <w:highlight w:val="none"/>
          <w:lang w:val="en-US" w:eastAsia="zh-CN"/>
        </w:rPr>
        <w:t>经甲方考核不合格2次以上，乙方仍未改进</w:t>
      </w:r>
      <w:r>
        <w:rPr>
          <w:rFonts w:hint="eastAsia" w:ascii="仿宋" w:hAnsi="仿宋" w:eastAsia="仿宋" w:cs="仿宋"/>
          <w:sz w:val="24"/>
          <w:szCs w:val="24"/>
          <w:highlight w:val="none"/>
        </w:rPr>
        <w:t>，甲方有权依据《</w:t>
      </w:r>
      <w:r>
        <w:rPr>
          <w:rFonts w:hint="eastAsia" w:ascii="仿宋" w:hAnsi="仿宋" w:eastAsia="仿宋" w:cs="仿宋"/>
          <w:sz w:val="24"/>
          <w:szCs w:val="24"/>
          <w:highlight w:val="none"/>
          <w:lang w:eastAsia="zh-CN"/>
        </w:rPr>
        <w:t>中华人民共和国民法典</w:t>
      </w:r>
      <w:r>
        <w:rPr>
          <w:rFonts w:hint="eastAsia" w:ascii="仿宋" w:hAnsi="仿宋" w:eastAsia="仿宋" w:cs="仿宋"/>
          <w:sz w:val="24"/>
          <w:szCs w:val="24"/>
          <w:highlight w:val="none"/>
        </w:rPr>
        <w:t>》有关条款及合同约定解除合同。</w:t>
      </w:r>
    </w:p>
    <w:p w14:paraId="61CBE0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(三)</w:t>
      </w:r>
      <w:r>
        <w:rPr>
          <w:rFonts w:hint="eastAsia" w:ascii="仿宋" w:hAnsi="仿宋" w:eastAsia="仿宋" w:cs="仿宋"/>
          <w:sz w:val="24"/>
          <w:szCs w:val="24"/>
          <w:highlight w:val="none"/>
          <w:lang w:val="en-US" w:eastAsia="zh-CN"/>
        </w:rPr>
        <w:t>如因乙方物业服务不到位，造成幼儿园师生或访园人员的人身伤害事故或财产安全风险事件，则乙方应承担全部赔偿责任，甲方承担后，有权向乙方全额追偿。</w:t>
      </w:r>
    </w:p>
    <w:p w14:paraId="40D78C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(四)乙方提供的服务不符合本项目相关文件和本合同规定的，甲方有权</w:t>
      </w:r>
      <w:r>
        <w:rPr>
          <w:rFonts w:hint="eastAsia" w:ascii="仿宋" w:hAnsi="仿宋" w:eastAsia="仿宋" w:cs="仿宋"/>
          <w:sz w:val="24"/>
          <w:szCs w:val="24"/>
          <w:highlight w:val="none"/>
          <w:lang w:val="en-US" w:eastAsia="zh-CN"/>
        </w:rPr>
        <w:t>解除合同</w:t>
      </w:r>
      <w:r>
        <w:rPr>
          <w:rFonts w:hint="eastAsia" w:ascii="仿宋" w:hAnsi="仿宋" w:eastAsia="仿宋" w:cs="仿宋"/>
          <w:sz w:val="24"/>
          <w:szCs w:val="24"/>
          <w:highlight w:val="none"/>
        </w:rPr>
        <w:t>，并且乙方须向甲方支付本合同总价款30%的违约金。</w:t>
      </w:r>
    </w:p>
    <w:p w14:paraId="5E91C6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0"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8"/>
          <w:sz w:val="24"/>
          <w:szCs w:val="24"/>
          <w:highlight w:val="none"/>
        </w:rPr>
        <w:t>九、保密条款</w:t>
      </w:r>
    </w:p>
    <w:p w14:paraId="474CE9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78861C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(二)甲方有义务保护乙方的知识产权，未经乙方同意，不得将乙方交付的具有知识产权性质的成果文件、资料向第三方转让或用于本合同以外的项目。</w:t>
      </w:r>
    </w:p>
    <w:p w14:paraId="209E8A8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(三)本条款为独立条款，本合同的无效、变更、解除和终止均不影响本条款的效力。</w:t>
      </w:r>
    </w:p>
    <w:p w14:paraId="01AD27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十、争议解决</w:t>
      </w:r>
    </w:p>
    <w:p w14:paraId="2A4F37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1  </w:t>
      </w:r>
      <w:r>
        <w:rPr>
          <w:rFonts w:hint="eastAsia" w:ascii="仿宋" w:hAnsi="仿宋" w:eastAsia="仿宋" w:cs="仿宋"/>
          <w:sz w:val="24"/>
          <w:szCs w:val="24"/>
          <w:highlight w:val="none"/>
        </w:rPr>
        <w:t>种方式解决：</w:t>
      </w:r>
    </w:p>
    <w:p w14:paraId="7F15E6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提交西安仲裁委员会仲裁；</w:t>
      </w:r>
    </w:p>
    <w:p w14:paraId="0B1C05B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 依法向甲方所在地人民法院起诉。</w:t>
      </w:r>
    </w:p>
    <w:p w14:paraId="2E1FB1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5C787C7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4"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十</w:t>
      </w:r>
      <w:r>
        <w:rPr>
          <w:rFonts w:hint="eastAsia" w:ascii="仿宋" w:hAnsi="仿宋" w:eastAsia="仿宋" w:cs="仿宋"/>
          <w:b/>
          <w:bCs/>
          <w:spacing w:val="-12"/>
          <w:sz w:val="24"/>
          <w:szCs w:val="24"/>
          <w:highlight w:val="none"/>
          <w:lang w:val="en-US" w:eastAsia="zh-CN"/>
        </w:rPr>
        <w:t>一</w:t>
      </w:r>
      <w:r>
        <w:rPr>
          <w:rFonts w:hint="eastAsia" w:ascii="仿宋" w:hAnsi="仿宋" w:eastAsia="仿宋" w:cs="仿宋"/>
          <w:b/>
          <w:bCs/>
          <w:spacing w:val="-12"/>
          <w:sz w:val="24"/>
          <w:szCs w:val="24"/>
          <w:highlight w:val="none"/>
        </w:rPr>
        <w:t>、合同变更</w:t>
      </w:r>
    </w:p>
    <w:p w14:paraId="10F6B3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方确认后生效(如双方变更事项不能达成一致的，仍按原合同履行，否则视为违约)。</w:t>
      </w:r>
    </w:p>
    <w:p w14:paraId="22CE04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6"/>
          <w:sz w:val="24"/>
          <w:szCs w:val="24"/>
          <w:highlight w:val="none"/>
        </w:rPr>
        <w:t>十</w:t>
      </w:r>
      <w:r>
        <w:rPr>
          <w:rFonts w:hint="eastAsia" w:ascii="仿宋" w:hAnsi="仿宋" w:eastAsia="仿宋" w:cs="仿宋"/>
          <w:b/>
          <w:bCs/>
          <w:spacing w:val="-16"/>
          <w:sz w:val="24"/>
          <w:szCs w:val="24"/>
          <w:highlight w:val="none"/>
          <w:lang w:val="en-US" w:eastAsia="zh-CN"/>
        </w:rPr>
        <w:t>二</w:t>
      </w:r>
      <w:r>
        <w:rPr>
          <w:rFonts w:hint="eastAsia" w:ascii="仿宋" w:hAnsi="仿宋" w:eastAsia="仿宋" w:cs="仿宋"/>
          <w:b/>
          <w:bCs/>
          <w:spacing w:val="-16"/>
          <w:sz w:val="24"/>
          <w:szCs w:val="24"/>
          <w:highlight w:val="none"/>
        </w:rPr>
        <w:t>、合同生效</w:t>
      </w:r>
    </w:p>
    <w:p w14:paraId="2B3A169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lang w:eastAsia="zh-CN"/>
        </w:rPr>
        <w:t>陆</w:t>
      </w:r>
      <w:r>
        <w:rPr>
          <w:rFonts w:hint="eastAsia" w:ascii="仿宋" w:hAnsi="仿宋" w:eastAsia="仿宋" w:cs="仿宋"/>
          <w:sz w:val="24"/>
          <w:szCs w:val="24"/>
          <w:highlight w:val="none"/>
        </w:rPr>
        <w:t>份，甲方持</w:t>
      </w:r>
      <w:r>
        <w:rPr>
          <w:rFonts w:hint="eastAsia" w:ascii="仿宋" w:hAnsi="仿宋" w:eastAsia="仿宋" w:cs="仿宋"/>
          <w:sz w:val="24"/>
          <w:szCs w:val="24"/>
          <w:highlight w:val="none"/>
          <w:u w:val="single"/>
        </w:rPr>
        <w:t>叁</w:t>
      </w:r>
      <w:r>
        <w:rPr>
          <w:rFonts w:hint="eastAsia" w:ascii="仿宋" w:hAnsi="仿宋" w:eastAsia="仿宋" w:cs="仿宋"/>
          <w:sz w:val="24"/>
          <w:szCs w:val="24"/>
          <w:highlight w:val="none"/>
        </w:rPr>
        <w:t>份，乙方持</w:t>
      </w:r>
      <w:r>
        <w:rPr>
          <w:rFonts w:hint="eastAsia" w:ascii="仿宋" w:hAnsi="仿宋" w:eastAsia="仿宋" w:cs="仿宋"/>
          <w:sz w:val="24"/>
          <w:szCs w:val="24"/>
          <w:highlight w:val="none"/>
          <w:u w:val="single"/>
        </w:rPr>
        <w:t xml:space="preserve"> 贰</w:t>
      </w:r>
      <w:r>
        <w:rPr>
          <w:rFonts w:hint="eastAsia" w:ascii="仿宋" w:hAnsi="仿宋" w:eastAsia="仿宋" w:cs="仿宋"/>
          <w:sz w:val="24"/>
          <w:szCs w:val="24"/>
          <w:highlight w:val="none"/>
        </w:rPr>
        <w:t>份西安市财政局备案</w:t>
      </w:r>
      <w:r>
        <w:rPr>
          <w:rFonts w:hint="eastAsia" w:ascii="仿宋" w:hAnsi="仿宋" w:eastAsia="仿宋" w:cs="仿宋"/>
          <w:sz w:val="24"/>
          <w:szCs w:val="24"/>
          <w:highlight w:val="none"/>
          <w:u w:val="single"/>
        </w:rPr>
        <w:t>壹</w:t>
      </w:r>
      <w:r>
        <w:rPr>
          <w:rFonts w:hint="eastAsia" w:ascii="仿宋" w:hAnsi="仿宋" w:eastAsia="仿宋" w:cs="仿宋"/>
          <w:sz w:val="24"/>
          <w:szCs w:val="24"/>
          <w:highlight w:val="none"/>
        </w:rPr>
        <w:t>份，本合同甲、乙</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方签字并盖章后生效，合同执行完毕后，自动失效(合同的服务承诺则长期有效)。</w:t>
      </w:r>
    </w:p>
    <w:p w14:paraId="7548D8E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十</w:t>
      </w:r>
      <w:r>
        <w:rPr>
          <w:rFonts w:hint="eastAsia" w:ascii="仿宋" w:hAnsi="仿宋" w:eastAsia="仿宋" w:cs="仿宋"/>
          <w:b/>
          <w:bCs/>
          <w:spacing w:val="-14"/>
          <w:sz w:val="24"/>
          <w:szCs w:val="24"/>
          <w:highlight w:val="none"/>
          <w:lang w:val="en-US" w:eastAsia="zh-CN"/>
        </w:rPr>
        <w:t>三</w:t>
      </w:r>
      <w:r>
        <w:rPr>
          <w:rFonts w:hint="eastAsia" w:ascii="仿宋" w:hAnsi="仿宋" w:eastAsia="仿宋" w:cs="仿宋"/>
          <w:b/>
          <w:bCs/>
          <w:spacing w:val="-14"/>
          <w:sz w:val="24"/>
          <w:szCs w:val="24"/>
          <w:highlight w:val="none"/>
        </w:rPr>
        <w:t>、其他事项</w:t>
      </w:r>
    </w:p>
    <w:p w14:paraId="5887DD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乙方上级主管部门</w:t>
      </w:r>
      <w:r>
        <w:rPr>
          <w:rFonts w:hint="eastAsia" w:ascii="仿宋" w:hAnsi="仿宋" w:eastAsia="仿宋" w:cs="仿宋"/>
          <w:sz w:val="24"/>
          <w:szCs w:val="24"/>
          <w:highlight w:val="none"/>
        </w:rPr>
        <w:t>可以随时检查项目的执行情况，对采购标准、采购内容进行调查核实，并对发现的问题进行处理。</w:t>
      </w:r>
    </w:p>
    <w:p w14:paraId="34E92F2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)竞争性磋商文件、响应文件、澄清表(函)、</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通知书、合同附件均成为合同不可分割的部分。</w:t>
      </w:r>
    </w:p>
    <w:p w14:paraId="07DA6CE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)甲乙双方因不可抗力导致本合同全部或部分不能履行时，发生不可抗力的一方应当在不可抗力发生后5天内书面通知对方，以减轻可能给对方造成的损失。因不可抗力导致本合同全部或部分不能履行时，双方各自</w:t>
      </w:r>
      <w:r>
        <w:rPr>
          <w:rFonts w:hint="eastAsia" w:ascii="仿宋" w:hAnsi="仿宋" w:eastAsia="仿宋" w:cs="仿宋"/>
          <w:sz w:val="24"/>
          <w:szCs w:val="24"/>
          <w:highlight w:val="none"/>
          <w:lang w:eastAsia="zh-CN"/>
        </w:rPr>
        <w:t>承担</w:t>
      </w:r>
      <w:r>
        <w:rPr>
          <w:rFonts w:hint="eastAsia" w:ascii="仿宋" w:hAnsi="仿宋" w:eastAsia="仿宋" w:cs="仿宋"/>
          <w:sz w:val="24"/>
          <w:szCs w:val="24"/>
          <w:highlight w:val="none"/>
        </w:rPr>
        <w:t>因此而造成的损失、损害。</w:t>
      </w:r>
    </w:p>
    <w:p w14:paraId="327A1E8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)合同未尽事宜，由甲、乙双方协商确认后签订政府采购补充合同，与原合同具有同等法律效力。</w:t>
      </w:r>
    </w:p>
    <w:p w14:paraId="3C835520">
      <w:pPr>
        <w:ind w:left="0" w:leftChars="0" w:firstLine="420" w:firstLineChars="175"/>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（五）</w:t>
      </w:r>
      <w:r>
        <w:rPr>
          <w:rFonts w:hint="eastAsia" w:ascii="仿宋" w:hAnsi="仿宋" w:eastAsia="仿宋" w:cs="仿宋"/>
          <w:kern w:val="2"/>
          <w:sz w:val="24"/>
          <w:szCs w:val="24"/>
          <w:highlight w:val="none"/>
          <w:lang w:val="en-US" w:eastAsia="en-US" w:bidi="ar-SA"/>
        </w:rPr>
        <w:t>重点说明：</w:t>
      </w:r>
    </w:p>
    <w:p w14:paraId="7403EFCD">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1、</w:t>
      </w:r>
      <w:r>
        <w:rPr>
          <w:rFonts w:hint="eastAsia" w:ascii="仿宋" w:hAnsi="仿宋" w:eastAsia="仿宋" w:cs="仿宋"/>
          <w:kern w:val="2"/>
          <w:sz w:val="24"/>
          <w:szCs w:val="24"/>
          <w:highlight w:val="none"/>
          <w:lang w:val="en-US" w:eastAsia="en-US" w:bidi="ar-SA"/>
        </w:rPr>
        <w:t>所有物业服务人员不提供住宿。</w:t>
      </w:r>
      <w:r>
        <w:rPr>
          <w:rFonts w:hint="eastAsia" w:ascii="仿宋" w:hAnsi="仿宋" w:eastAsia="仿宋" w:cs="仿宋"/>
          <w:kern w:val="2"/>
          <w:sz w:val="24"/>
          <w:szCs w:val="24"/>
          <w:highlight w:val="none"/>
          <w:lang w:val="en-US" w:eastAsia="zh-CN" w:bidi="ar-SA"/>
        </w:rPr>
        <w:t>乙方如有就餐需求，可向甲方提出就餐书面申请，经甲方同意后，按教师就餐标准缴费就餐</w:t>
      </w:r>
      <w:r>
        <w:rPr>
          <w:rFonts w:hint="eastAsia" w:ascii="仿宋" w:hAnsi="仿宋" w:eastAsia="仿宋" w:cs="仿宋"/>
          <w:kern w:val="2"/>
          <w:sz w:val="24"/>
          <w:szCs w:val="24"/>
          <w:highlight w:val="none"/>
          <w:lang w:val="en-US" w:eastAsia="en-US" w:bidi="ar-SA"/>
        </w:rPr>
        <w:t>。</w:t>
      </w:r>
    </w:p>
    <w:p w14:paraId="24AC4648">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en-US" w:eastAsia="en-US" w:bidi="ar-SA"/>
        </w:rPr>
        <w:t>本项目合同不得转让，特殊情况，可另行委托第三方承担，但应得到甲方的书面同意。</w:t>
      </w:r>
    </w:p>
    <w:p w14:paraId="08455FE8">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en-US" w:eastAsia="en-US" w:bidi="ar-SA"/>
        </w:rPr>
        <w:t>本合同终止时，如双方不再续签合同，乙方应向甲方提交物业服务总结报告。所有移交的内容都应有清单并由双方签收；全部手续完成后签署移交确认书。</w:t>
      </w:r>
    </w:p>
    <w:p w14:paraId="1C5A8E7A">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eastAsia="en-US" w:bidi="ar-SA"/>
        </w:rPr>
        <w:t>未经甲方许可，不得擅自容留外来人员。</w:t>
      </w:r>
    </w:p>
    <w:p w14:paraId="06BA9345">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5、</w:t>
      </w:r>
      <w:r>
        <w:rPr>
          <w:rFonts w:hint="eastAsia" w:ascii="仿宋" w:hAnsi="仿宋" w:eastAsia="仿宋" w:cs="仿宋"/>
          <w:kern w:val="2"/>
          <w:sz w:val="24"/>
          <w:szCs w:val="24"/>
          <w:highlight w:val="none"/>
          <w:lang w:val="en-US" w:eastAsia="en-US" w:bidi="ar-SA"/>
        </w:rPr>
        <w:t>乙方在</w:t>
      </w:r>
      <w:r>
        <w:rPr>
          <w:rFonts w:hint="eastAsia" w:ascii="仿宋" w:hAnsi="仿宋" w:eastAsia="仿宋" w:cs="仿宋"/>
          <w:kern w:val="2"/>
          <w:sz w:val="24"/>
          <w:szCs w:val="24"/>
          <w:highlight w:val="none"/>
          <w:lang w:val="en-US" w:eastAsia="zh-CN" w:bidi="ar-SA"/>
        </w:rPr>
        <w:t>响应</w:t>
      </w:r>
      <w:r>
        <w:rPr>
          <w:rFonts w:hint="eastAsia" w:ascii="仿宋" w:hAnsi="仿宋" w:eastAsia="仿宋" w:cs="仿宋"/>
          <w:kern w:val="2"/>
          <w:sz w:val="24"/>
          <w:szCs w:val="24"/>
          <w:highlight w:val="none"/>
          <w:lang w:val="en-US" w:eastAsia="en-US" w:bidi="ar-SA"/>
        </w:rPr>
        <w:t>文件中提出的其他服务承诺。</w:t>
      </w:r>
    </w:p>
    <w:p w14:paraId="6060BFAA">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6、</w:t>
      </w:r>
      <w:r>
        <w:rPr>
          <w:rFonts w:hint="eastAsia" w:ascii="仿宋" w:hAnsi="仿宋" w:eastAsia="仿宋" w:cs="仿宋"/>
          <w:kern w:val="2"/>
          <w:sz w:val="24"/>
          <w:szCs w:val="24"/>
          <w:highlight w:val="none"/>
          <w:lang w:val="en-US" w:eastAsia="en-US" w:bidi="ar-SA"/>
        </w:rPr>
        <w:t>按法律规定或经双方商定应由乙方承担的其他责任和义务。</w:t>
      </w:r>
    </w:p>
    <w:p w14:paraId="5E6E485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064BA4D">
      <w:pPr>
        <w:rPr>
          <w:rFonts w:hint="eastAsia"/>
          <w:highlight w:val="none"/>
        </w:rPr>
      </w:pPr>
    </w:p>
    <w:tbl>
      <w:tblPr>
        <w:tblStyle w:val="6"/>
        <w:tblW w:w="83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88"/>
        <w:gridCol w:w="4151"/>
      </w:tblGrid>
      <w:tr w14:paraId="0D6C1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jc w:val="center"/>
        </w:trPr>
        <w:tc>
          <w:tcPr>
            <w:tcW w:w="4188" w:type="dxa"/>
            <w:vAlign w:val="center"/>
          </w:tcPr>
          <w:p w14:paraId="54544D0C">
            <w:pPr>
              <w:keepNext w:val="0"/>
              <w:keepLines w:val="0"/>
              <w:pageBreakBefore w:val="0"/>
              <w:wordWrap/>
              <w:overflowPunct/>
              <w:topLinePunct w:val="0"/>
              <w:bidi w:val="0"/>
              <w:ind w:left="420" w:left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甲</w:t>
            </w:r>
            <w:r>
              <w:rPr>
                <w:rFonts w:hint="eastAsia" w:ascii="仿宋" w:hAnsi="仿宋" w:eastAsia="仿宋" w:cs="仿宋"/>
                <w:sz w:val="24"/>
                <w:szCs w:val="24"/>
                <w:highlight w:val="none"/>
                <w:lang w:eastAsia="zh-CN"/>
              </w:rPr>
              <w:t>方</w:t>
            </w:r>
          </w:p>
        </w:tc>
        <w:tc>
          <w:tcPr>
            <w:tcW w:w="4151" w:type="dxa"/>
            <w:vAlign w:val="center"/>
          </w:tcPr>
          <w:p w14:paraId="32172FA0">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乙</w:t>
            </w:r>
            <w:r>
              <w:rPr>
                <w:rFonts w:hint="eastAsia" w:ascii="仿宋" w:hAnsi="仿宋" w:eastAsia="仿宋" w:cs="仿宋"/>
                <w:spacing w:val="4"/>
                <w:sz w:val="24"/>
                <w:szCs w:val="24"/>
                <w:highlight w:val="none"/>
              </w:rPr>
              <w:t xml:space="preserve">  </w:t>
            </w:r>
            <w:r>
              <w:rPr>
                <w:rFonts w:hint="eastAsia" w:ascii="仿宋" w:hAnsi="仿宋" w:eastAsia="仿宋" w:cs="仿宋"/>
                <w:spacing w:val="-16"/>
                <w:sz w:val="24"/>
                <w:szCs w:val="24"/>
                <w:highlight w:val="none"/>
              </w:rPr>
              <w:t>方</w:t>
            </w:r>
          </w:p>
        </w:tc>
      </w:tr>
      <w:tr w14:paraId="6DB0B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1" w:hRule="atLeast"/>
          <w:jc w:val="center"/>
        </w:trPr>
        <w:tc>
          <w:tcPr>
            <w:tcW w:w="4188" w:type="dxa"/>
            <w:vAlign w:val="center"/>
          </w:tcPr>
          <w:p w14:paraId="7A06B65A">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公章</w:t>
            </w:r>
            <w:r>
              <w:rPr>
                <w:rFonts w:hint="eastAsia" w:ascii="仿宋" w:hAnsi="仿宋" w:eastAsia="仿宋" w:cs="仿宋"/>
                <w:sz w:val="24"/>
                <w:szCs w:val="24"/>
                <w:highlight w:val="none"/>
                <w:lang w:eastAsia="zh-CN"/>
              </w:rPr>
              <w:t>）</w:t>
            </w:r>
          </w:p>
        </w:tc>
        <w:tc>
          <w:tcPr>
            <w:tcW w:w="4151" w:type="dxa"/>
            <w:vAlign w:val="center"/>
          </w:tcPr>
          <w:p w14:paraId="1989F2FB">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公章</w:t>
            </w:r>
            <w:r>
              <w:rPr>
                <w:rFonts w:hint="eastAsia" w:ascii="仿宋" w:hAnsi="仿宋" w:eastAsia="仿宋" w:cs="仿宋"/>
                <w:sz w:val="24"/>
                <w:szCs w:val="24"/>
                <w:highlight w:val="none"/>
                <w:lang w:eastAsia="zh-CN"/>
              </w:rPr>
              <w:t>）</w:t>
            </w:r>
          </w:p>
        </w:tc>
      </w:tr>
      <w:tr w14:paraId="20024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jc w:val="center"/>
        </w:trPr>
        <w:tc>
          <w:tcPr>
            <w:tcW w:w="4188" w:type="dxa"/>
            <w:vAlign w:val="center"/>
          </w:tcPr>
          <w:p w14:paraId="04F0B22A">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地址：</w:t>
            </w:r>
          </w:p>
        </w:tc>
        <w:tc>
          <w:tcPr>
            <w:tcW w:w="4151" w:type="dxa"/>
            <w:vAlign w:val="center"/>
          </w:tcPr>
          <w:p w14:paraId="369F72A9">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地址：</w:t>
            </w:r>
          </w:p>
        </w:tc>
      </w:tr>
      <w:tr w14:paraId="1F085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Align w:val="center"/>
          </w:tcPr>
          <w:p w14:paraId="126DCB71">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邮编：</w:t>
            </w:r>
          </w:p>
        </w:tc>
        <w:tc>
          <w:tcPr>
            <w:tcW w:w="4151" w:type="dxa"/>
            <w:vAlign w:val="center"/>
          </w:tcPr>
          <w:p w14:paraId="0B1EB56D">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邮编：</w:t>
            </w:r>
          </w:p>
        </w:tc>
      </w:tr>
      <w:tr w14:paraId="474E8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jc w:val="center"/>
        </w:trPr>
        <w:tc>
          <w:tcPr>
            <w:tcW w:w="4188" w:type="dxa"/>
            <w:vAlign w:val="center"/>
          </w:tcPr>
          <w:p w14:paraId="0141A0D3">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签字或盖章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w:t>
            </w:r>
          </w:p>
        </w:tc>
        <w:tc>
          <w:tcPr>
            <w:tcW w:w="4151" w:type="dxa"/>
            <w:vAlign w:val="center"/>
          </w:tcPr>
          <w:p w14:paraId="2920D23C">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lang w:eastAsia="zh-CN"/>
              </w:rPr>
            </w:pPr>
            <w:r>
              <w:rPr>
                <w:rFonts w:hint="eastAsia" w:ascii="仿宋" w:hAnsi="仿宋" w:eastAsia="仿宋" w:cs="仿宋"/>
                <w:spacing w:val="18"/>
                <w:sz w:val="24"/>
                <w:szCs w:val="24"/>
                <w:highlight w:val="none"/>
              </w:rPr>
              <w:t>法定代表人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签字或盖章</w:t>
            </w:r>
            <w:r>
              <w:rPr>
                <w:rFonts w:hint="eastAsia" w:ascii="仿宋" w:hAnsi="仿宋" w:eastAsia="仿宋" w:cs="仿宋"/>
                <w:sz w:val="24"/>
                <w:szCs w:val="24"/>
                <w:highlight w:val="none"/>
                <w:lang w:eastAsia="zh-CN"/>
              </w:rPr>
              <w:t>）</w:t>
            </w:r>
            <w:r>
              <w:rPr>
                <w:rFonts w:hint="eastAsia" w:ascii="仿宋" w:hAnsi="仿宋" w:eastAsia="仿宋" w:cs="仿宋"/>
                <w:spacing w:val="18"/>
                <w:sz w:val="24"/>
                <w:szCs w:val="24"/>
                <w:highlight w:val="none"/>
                <w:lang w:eastAsia="zh-CN"/>
              </w:rPr>
              <w:t>：</w:t>
            </w:r>
          </w:p>
        </w:tc>
      </w:tr>
      <w:tr w14:paraId="63BBB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Align w:val="center"/>
          </w:tcPr>
          <w:p w14:paraId="1253D2D2">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签字或盖章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w:t>
            </w:r>
          </w:p>
        </w:tc>
        <w:tc>
          <w:tcPr>
            <w:tcW w:w="4151" w:type="dxa"/>
            <w:vAlign w:val="center"/>
          </w:tcPr>
          <w:p w14:paraId="5F8DB7A9">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pacing w:val="-2"/>
                <w:sz w:val="24"/>
                <w:szCs w:val="24"/>
                <w:highlight w:val="none"/>
              </w:rPr>
              <w:t>被授权代表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签字或盖章</w:t>
            </w:r>
            <w:r>
              <w:rPr>
                <w:rFonts w:hint="eastAsia" w:ascii="仿宋" w:hAnsi="仿宋" w:eastAsia="仿宋" w:cs="仿宋"/>
                <w:sz w:val="24"/>
                <w:szCs w:val="24"/>
                <w:highlight w:val="none"/>
                <w:lang w:eastAsia="zh-CN"/>
              </w:rPr>
              <w:t>）</w:t>
            </w:r>
            <w:r>
              <w:rPr>
                <w:rFonts w:hint="eastAsia" w:ascii="仿宋" w:hAnsi="仿宋" w:eastAsia="仿宋" w:cs="仿宋"/>
                <w:spacing w:val="-2"/>
                <w:sz w:val="24"/>
                <w:szCs w:val="24"/>
                <w:highlight w:val="none"/>
                <w:lang w:val="en-US" w:eastAsia="zh-CN"/>
              </w:rPr>
              <w:t>:</w:t>
            </w:r>
          </w:p>
        </w:tc>
      </w:tr>
      <w:tr w14:paraId="5ABCD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jc w:val="center"/>
        </w:trPr>
        <w:tc>
          <w:tcPr>
            <w:tcW w:w="4188" w:type="dxa"/>
            <w:vMerge w:val="restart"/>
            <w:vAlign w:val="center"/>
          </w:tcPr>
          <w:p w14:paraId="65783712">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4151" w:type="dxa"/>
            <w:vAlign w:val="center"/>
          </w:tcPr>
          <w:p w14:paraId="6547CD79">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2D70C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Merge w:val="continue"/>
            <w:vAlign w:val="center"/>
          </w:tcPr>
          <w:p w14:paraId="66CDEB4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c>
          <w:tcPr>
            <w:tcW w:w="4151" w:type="dxa"/>
            <w:vAlign w:val="center"/>
          </w:tcPr>
          <w:p w14:paraId="29AA62C3">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开户银行：</w:t>
            </w:r>
          </w:p>
        </w:tc>
      </w:tr>
      <w:tr w14:paraId="4A0E7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jc w:val="center"/>
        </w:trPr>
        <w:tc>
          <w:tcPr>
            <w:tcW w:w="4188" w:type="dxa"/>
            <w:vMerge w:val="continue"/>
            <w:vAlign w:val="center"/>
          </w:tcPr>
          <w:p w14:paraId="745E0942">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c>
          <w:tcPr>
            <w:tcW w:w="4151" w:type="dxa"/>
            <w:vAlign w:val="center"/>
          </w:tcPr>
          <w:p w14:paraId="0AEE7C15">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tc>
      </w:tr>
      <w:tr w14:paraId="7AB9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jc w:val="center"/>
        </w:trPr>
        <w:tc>
          <w:tcPr>
            <w:tcW w:w="4188" w:type="dxa"/>
            <w:vAlign w:val="center"/>
          </w:tcPr>
          <w:p w14:paraId="350FF952">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日期：</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月</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日</w:t>
            </w:r>
          </w:p>
        </w:tc>
        <w:tc>
          <w:tcPr>
            <w:tcW w:w="4151" w:type="dxa"/>
            <w:vAlign w:val="center"/>
          </w:tcPr>
          <w:p w14:paraId="777AE1FE">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日期：</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月</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日</w:t>
            </w:r>
          </w:p>
        </w:tc>
      </w:tr>
    </w:tbl>
    <w:p w14:paraId="63D882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highlight w:val="none"/>
        </w:rPr>
      </w:pPr>
    </w:p>
    <w:p w14:paraId="58940F48">
      <w:pPr>
        <w:pStyle w:val="8"/>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highlight w:val="none"/>
          <w:lang w:val="en-US" w:eastAsia="zh-Hans"/>
        </w:rPr>
      </w:pPr>
    </w:p>
    <w:p w14:paraId="285B005A">
      <w:pPr>
        <w:rPr>
          <w:highlight w:val="none"/>
        </w:rPr>
      </w:pPr>
    </w:p>
    <w:p w14:paraId="38FCFDF9">
      <w:pPr>
        <w:pStyle w:val="8"/>
        <w:spacing w:line="360" w:lineRule="auto"/>
        <w:rPr>
          <w:rFonts w:hint="eastAsia" w:ascii="仿宋" w:hAnsi="仿宋" w:eastAsia="仿宋" w:cs="仿宋"/>
          <w:highlight w:val="none"/>
          <w:lang w:val="en-US" w:eastAsia="zh-Hans"/>
        </w:rPr>
      </w:pPr>
    </w:p>
    <w:p w14:paraId="7D9BCB1D"/>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CC79D4"/>
    <w:rsid w:val="6C5905FB"/>
    <w:rsid w:val="6F075A77"/>
    <w:rsid w:val="79C20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0"/>
      <w:szCs w:val="20"/>
      <w:lang w:val="en-US" w:eastAsia="en-US" w:bidi="ar-SA"/>
    </w:r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pPr>
      <w:kinsoku w:val="0"/>
      <w:autoSpaceDE w:val="0"/>
      <w:autoSpaceDN w:val="0"/>
      <w:adjustRightInd w:val="0"/>
      <w:snapToGrid w:val="0"/>
      <w:textAlignment w:val="baseline"/>
    </w:pPr>
    <w:rPr>
      <w:rFonts w:eastAsia="宋体"/>
      <w:snapToGrid w:val="0"/>
      <w:color w:val="000000"/>
      <w:sz w:val="28"/>
      <w:szCs w:val="28"/>
      <w:lang w:eastAsia="en-U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4755</Words>
  <Characters>4852</Characters>
  <Lines>0</Lines>
  <Paragraphs>0</Paragraphs>
  <TotalTime>0</TotalTime>
  <ScaleCrop>false</ScaleCrop>
  <LinksUpToDate>false</LinksUpToDate>
  <CharactersWithSpaces>4936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2025-06-09T02:54:00Z</dcterms:created>
  <dc:creator>Administrator</dc:creator>
  <cp:lastModifiedBy>Administrator</cp:lastModifiedBy>
  <dcterms:modified xsi:type="dcterms:W3CDTF">2025-07-09T02:23:51Z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eyJoZGlkIjoiOWE1YTM2MmJkYmVkODc1MjU2NGFmNzEwMDZmOTZkY2YiLCJ1c2VySWQiOiI5MTQ3Njg1NjkifQ==</vt:lpwstr>
  </property>
  <property fmtid="{D5CDD505-2E9C-101B-9397-08002B2CF9AE}" pid="4" name="ICV">
    <vt:lpwstr>EF7D2DEB735D4F5BB048A2538CEAE95A_12</vt:lpwstr>
  </property>
</Properties>
</file>