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版本号：SZT2025-SN-QC-ZC-FW-080420250813001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智慧环保指挥中心平台运维服务项目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SZT2025-SN-QC-ZC-FW-0804</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智慧环保指挥中心平台运维服务项目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SZT2025-SN-QC-ZC-FW-0804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智慧环保指挥中心平台运维服务项目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西安国家民用航天产业基地管理委员会智慧环保指挥中心平台运维服务项目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法定代表人授权委托书：法定代表人直接参加的，须提供法人身份证明；法定代表人授权他人参加的，须提供法定代表人授权委托书、被授权人身份证。供应商需在项目电子化交易系统中按要求上传相应证明文件并进行电子签章 。</w:t>
      </w:r>
    </w:p>
    <w:p>
      <w:pPr>
        <w:pStyle w:val="null3"/>
      </w:pPr>
      <w:r>
        <w:rPr>
          <w:rFonts w:ascii="仿宋_GB2312" w:hAnsi="仿宋_GB2312" w:cs="仿宋_GB2312" w:eastAsia="仿宋_GB2312"/>
        </w:rPr>
        <w:t>2、本项目不接受联合体磋商：本项目不接受联合体磋商。供应商需在项目电子化交易系统中按要求上传相应证明文件并进行电子签章。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西安国家民用航天产业基地管理委员会经办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029-85688784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米成、胡婷、单博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招标代理服务费收取按照国家计委颁布的《招标代理服务收费管理暂行办法》（计价格[2002]1980号）和（发改办价格[2003]857号）收费标准计取。 收款单位：陕西中技招标有限公司、开户银行：招商银行西安分行营业部、银行账号：129916812810001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西安国家民用航天产业基地管理委员会智慧环保指挥中心平台运维服务项目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751,000.00</w:t>
      </w:r>
    </w:p>
    <w:p>
      <w:pPr>
        <w:pStyle w:val="null3"/>
      </w:pPr>
      <w:r>
        <w:rPr>
          <w:rFonts w:ascii="仿宋_GB2312" w:hAnsi="仿宋_GB2312" w:cs="仿宋_GB2312" w:eastAsia="仿宋_GB2312"/>
        </w:rPr>
        <w:t>采购包最高限价（元）: 751,000.00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60"/>
              <w:gridCol w:w="559"/>
              <w:gridCol w:w="397"/>
              <w:gridCol w:w="153"/>
              <w:gridCol w:w="1184"/>
            </w:tblGrid>
            <w:tr>
              <w:tc>
                <w:tcPr>
                  <w:tcW w:type="dxa" w:w="26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序号</w:t>
                  </w:r>
                </w:p>
              </w:tc>
              <w:tc>
                <w:tcPr>
                  <w:tcW w:type="dxa" w:w="956"/>
                  <w:gridSpan w:val="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名称</w:t>
                  </w:r>
                </w:p>
              </w:tc>
              <w:tc>
                <w:tcPr>
                  <w:tcW w:type="dxa" w:w="15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数量</w:t>
                  </w:r>
                </w:p>
              </w:tc>
              <w:tc>
                <w:tcPr>
                  <w:tcW w:type="dxa" w:w="118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FF"/>
                    </w:rPr>
                    <w:t>参数</w:t>
                  </w:r>
                </w:p>
              </w:tc>
            </w:tr>
            <w:tr>
              <w:tc>
                <w:tcPr>
                  <w:tcW w:type="dxa" w:w="2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1</w:t>
                  </w:r>
                </w:p>
              </w:tc>
              <w:tc>
                <w:tcPr>
                  <w:tcW w:type="dxa" w:w="5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云平台资源租赁与出口专线维护管理</w:t>
                  </w:r>
                </w:p>
              </w:tc>
              <w:tc>
                <w:tcPr>
                  <w:tcW w:type="dxa" w:w="3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云服务器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16核CPU 32GB内存  100G系统盘+1T存储</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16核CPU 32GB内存  100G系统盘+0.3T存储</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16核CPU 64GB内存  100G系统盘+4T存储</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8核CPU 32GB内存 100G系统盘+0.5T存储</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8核CPU 32GB内存 100G系统盘+ 1T存储</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云硬盘</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云硬盘1TB</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公网IP</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弹性公网IP</w:t>
                  </w:r>
                </w:p>
              </w:tc>
            </w:tr>
            <w:tr>
              <w:tc>
                <w:tcPr>
                  <w:tcW w:type="dxa" w:w="260"/>
                  <w:vMerge/>
                  <w:tcBorders>
                    <w:top w:val="none" w:color="000000" w:sz="4"/>
                    <w:left w:val="single" w:color="000000" w:sz="4"/>
                    <w:bottom w:val="none" w:color="000000" w:sz="4"/>
                    <w:right w:val="single" w:color="000000" w:sz="4"/>
                  </w:tcBorders>
                </w:tcPr>
                <w:p/>
              </w:tc>
              <w:tc>
                <w:tcPr>
                  <w:tcW w:type="dxa" w:w="559"/>
                  <w:vMerge/>
                  <w:tcBorders>
                    <w:top w:val="none" w:color="000000" w:sz="4"/>
                    <w:left w:val="none" w:color="000000" w:sz="4"/>
                    <w:bottom w:val="non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弹性公网</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弹性公网带宽-20M。</w:t>
                  </w:r>
                </w:p>
              </w:tc>
            </w:tr>
            <w:tr>
              <w:tc>
                <w:tcPr>
                  <w:tcW w:type="dxa" w:w="2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2</w:t>
                  </w:r>
                </w:p>
              </w:tc>
              <w:tc>
                <w:tcPr>
                  <w:tcW w:type="dxa" w:w="5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监测设备数据稳定性运维</w:t>
                  </w:r>
                </w:p>
                <w:p>
                  <w:pPr>
                    <w:pStyle w:val="null3"/>
                    <w:jc w:val="center"/>
                  </w:pPr>
                  <w:r>
                    <w:rPr>
                      <w:rFonts w:ascii="仿宋_GB2312" w:hAnsi="仿宋_GB2312" w:cs="仿宋_GB2312" w:eastAsia="仿宋_GB2312"/>
                      <w:sz w:val="22"/>
                      <w:b/>
                      <w:color w:val="0000FF"/>
                    </w:rPr>
                    <w:t>管理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环境数据服务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西安市内省控站点小时数据；以及航天基地气象参数，包括24小时风速数据、风向、大气压、气温、相对湿度等数据。</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监测设备运行维护费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颗粒物激光雷达常规性检查，主要部件校准和检查分析，定期更换清洗液和对雷达数据进行备份保存，雷达扫描结果图分析。</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臭氧激光雷达常规性检查，主要部件校准和检查分析，系统光路光斑、激光能量检查，定期更换清洗液和冷却液，对雷达数据进行备份保存，雷达扫描结果图分析。</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标准站设备校准；更换耗材；夏季臭氧量程传递；颗粒物气态流量校准；动态校准仪MFC校准；空调、设备滤网清洗、采样管管路清洗。</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微型空气质量监测站设备数据校准；设备传感器清洁维护。</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高清摄像头设备系统检修；设备数据储存盘清理。</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监测设备运行网络费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20M带宽专线网络</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颗粒物激光雷达网络</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臭氧激光雷达网络</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微型空气质量监测站网络</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高清摄像头网络专线</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标准背景站网络</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监测设备运行电费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颗粒物激光雷达</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臭氧激光雷达</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标准背景站</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微型空气质量监测站</w:t>
                  </w:r>
                </w:p>
              </w:tc>
            </w:tr>
            <w:tr>
              <w:tc>
                <w:tcPr>
                  <w:tcW w:type="dxa" w:w="260"/>
                  <w:vMerge/>
                  <w:tcBorders>
                    <w:top w:val="single" w:color="000000" w:sz="4"/>
                    <w:left w:val="single" w:color="000000" w:sz="4"/>
                    <w:bottom w:val="none" w:color="000000" w:sz="4"/>
                    <w:right w:val="single" w:color="000000" w:sz="4"/>
                  </w:tcBorders>
                </w:tcPr>
                <w:p/>
              </w:tc>
              <w:tc>
                <w:tcPr>
                  <w:tcW w:type="dxa" w:w="559"/>
                  <w:vMerge/>
                  <w:tcBorders>
                    <w:top w:val="none" w:color="000000" w:sz="4"/>
                    <w:left w:val="none" w:color="000000" w:sz="4"/>
                    <w:bottom w:val="single" w:color="000000" w:sz="4"/>
                    <w:right w:val="single" w:color="000000" w:sz="4"/>
                  </w:tcBorders>
                </w:tcPr>
                <w:p/>
              </w:tc>
              <w:tc>
                <w:tcPr>
                  <w:tcW w:type="dxa" w:w="397"/>
                  <w:vMerge/>
                  <w:tcBorders>
                    <w:top w:val="none" w:color="000000" w:sz="4"/>
                    <w:left w:val="none" w:color="000000" w:sz="4"/>
                    <w:bottom w:val="non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高清摄像头</w:t>
                  </w:r>
                </w:p>
              </w:tc>
            </w:tr>
          </w:tbl>
          <w:p>
            <w:pPr>
              <w:pStyle w:val="null3"/>
              <w:jc w:val="left"/>
            </w:pPr>
            <w:r>
              <w:rPr>
                <w:rFonts w:ascii="仿宋_GB2312" w:hAnsi="仿宋_GB2312" w:cs="仿宋_GB2312" w:eastAsia="仿宋_GB2312"/>
                <w:sz w:val="20"/>
                <w:color w:val="0000FF"/>
              </w:rPr>
              <w:t>一、服务标准：</w:t>
            </w:r>
          </w:p>
          <w:p>
            <w:pPr>
              <w:pStyle w:val="null3"/>
              <w:jc w:val="left"/>
            </w:pPr>
            <w:r>
              <w:rPr>
                <w:rFonts w:ascii="仿宋_GB2312" w:hAnsi="仿宋_GB2312" w:cs="仿宋_GB2312" w:eastAsia="仿宋_GB2312"/>
                <w:sz w:val="20"/>
                <w:color w:val="0000FF"/>
              </w:rPr>
              <w:t>（一）故障恢复类</w:t>
            </w:r>
          </w:p>
          <w:p>
            <w:pPr>
              <w:pStyle w:val="null3"/>
              <w:jc w:val="left"/>
            </w:pPr>
            <w:r>
              <w:rPr>
                <w:rFonts w:ascii="仿宋_GB2312" w:hAnsi="仿宋_GB2312" w:cs="仿宋_GB2312" w:eastAsia="仿宋_GB2312"/>
                <w:sz w:val="20"/>
                <w:color w:val="0000FF"/>
              </w:rPr>
              <w:t>1、7×24小时响应支持</w:t>
            </w:r>
          </w:p>
          <w:p>
            <w:pPr>
              <w:pStyle w:val="null3"/>
              <w:ind w:firstLine="400"/>
              <w:jc w:val="left"/>
            </w:pPr>
            <w:r>
              <w:rPr>
                <w:rFonts w:ascii="仿宋_GB2312" w:hAnsi="仿宋_GB2312" w:cs="仿宋_GB2312" w:eastAsia="仿宋_GB2312"/>
                <w:sz w:val="20"/>
                <w:color w:val="0000FF"/>
              </w:rPr>
              <w:t>供应商的技术支持人员和故障保修热线以及项目团队人员手机全天候开通，为用户提供7×24小时电话技术支持。支持范围包括产品的功能、配置以及使用中遇到的各种技术问题的一般性咨询，并随时准备处理各种突发事件。</w:t>
            </w:r>
          </w:p>
          <w:p>
            <w:pPr>
              <w:pStyle w:val="null3"/>
              <w:jc w:val="left"/>
            </w:pPr>
            <w:r>
              <w:rPr>
                <w:rFonts w:ascii="仿宋_GB2312" w:hAnsi="仿宋_GB2312" w:cs="仿宋_GB2312" w:eastAsia="仿宋_GB2312"/>
                <w:sz w:val="20"/>
                <w:color w:val="0000FF"/>
              </w:rPr>
              <w:t>2、故障解决服务</w:t>
            </w:r>
          </w:p>
          <w:p>
            <w:pPr>
              <w:pStyle w:val="null3"/>
              <w:ind w:firstLine="400"/>
              <w:jc w:val="left"/>
            </w:pPr>
            <w:r>
              <w:rPr>
                <w:rFonts w:ascii="仿宋_GB2312" w:hAnsi="仿宋_GB2312" w:cs="仿宋_GB2312" w:eastAsia="仿宋_GB2312"/>
                <w:sz w:val="20"/>
                <w:color w:val="0000FF"/>
              </w:rPr>
              <w:t>供应商提供硬件的故障诊断支持服务，在故障发生后，在最短时间判断出故障的原因，然后给出有针对性的维修解决方案。</w:t>
            </w:r>
          </w:p>
          <w:p>
            <w:pPr>
              <w:pStyle w:val="null3"/>
              <w:jc w:val="left"/>
            </w:pPr>
            <w:r>
              <w:rPr>
                <w:rFonts w:ascii="仿宋_GB2312" w:hAnsi="仿宋_GB2312" w:cs="仿宋_GB2312" w:eastAsia="仿宋_GB2312"/>
                <w:sz w:val="20"/>
                <w:color w:val="0000FF"/>
              </w:rPr>
              <w:t>（二）技术服务类</w:t>
            </w:r>
          </w:p>
          <w:p>
            <w:pPr>
              <w:pStyle w:val="null3"/>
              <w:jc w:val="left"/>
            </w:pPr>
            <w:r>
              <w:rPr>
                <w:rFonts w:ascii="仿宋_GB2312" w:hAnsi="仿宋_GB2312" w:cs="仿宋_GB2312" w:eastAsia="仿宋_GB2312"/>
                <w:sz w:val="20"/>
                <w:color w:val="0000FF"/>
              </w:rPr>
              <w:t>1、管理制度梳理</w:t>
            </w:r>
          </w:p>
          <w:p>
            <w:pPr>
              <w:pStyle w:val="null3"/>
              <w:ind w:firstLine="400"/>
              <w:jc w:val="left"/>
            </w:pPr>
            <w:r>
              <w:rPr>
                <w:rFonts w:ascii="仿宋_GB2312" w:hAnsi="仿宋_GB2312" w:cs="仿宋_GB2312" w:eastAsia="仿宋_GB2312"/>
                <w:sz w:val="20"/>
                <w:color w:val="0000FF"/>
              </w:rPr>
              <w:t>供应商需与采购人沟通，人员入场前针对各系统制定管理计划与管理制度。管理计划分阶段进行优化，在每次定期汇报交流后修改管理计划，形成下一阶段的管理计划，使管理计划与时俱进，更符合系统当前的需求。</w:t>
            </w:r>
          </w:p>
          <w:p>
            <w:pPr>
              <w:pStyle w:val="null3"/>
              <w:jc w:val="left"/>
            </w:pPr>
            <w:r>
              <w:rPr>
                <w:rFonts w:ascii="仿宋_GB2312" w:hAnsi="仿宋_GB2312" w:cs="仿宋_GB2312" w:eastAsia="仿宋_GB2312"/>
                <w:sz w:val="20"/>
                <w:color w:val="0000FF"/>
              </w:rPr>
              <w:t>2、资产配置建档服务</w:t>
            </w:r>
          </w:p>
          <w:p>
            <w:pPr>
              <w:pStyle w:val="null3"/>
              <w:ind w:firstLine="400"/>
              <w:jc w:val="left"/>
            </w:pPr>
            <w:r>
              <w:rPr>
                <w:rFonts w:ascii="仿宋_GB2312" w:hAnsi="仿宋_GB2312" w:cs="仿宋_GB2312" w:eastAsia="仿宋_GB2312"/>
                <w:sz w:val="20"/>
                <w:color w:val="0000FF"/>
              </w:rPr>
              <w:t>供应商需向采购人提交详细的系统硬件维护服务档案，内容包括有系统配置（包括硬件配置、系统配置等）、双方人员信息、系统维护记录等信息。并根据需方的实际需要，制定详细的服务支持计划，随时更新硬件系统信息。并根据调研设备的运行记录进行评估。</w:t>
            </w:r>
          </w:p>
          <w:p>
            <w:pPr>
              <w:pStyle w:val="null3"/>
              <w:jc w:val="left"/>
            </w:pPr>
            <w:r>
              <w:rPr>
                <w:rFonts w:ascii="仿宋_GB2312" w:hAnsi="仿宋_GB2312" w:cs="仿宋_GB2312" w:eastAsia="仿宋_GB2312"/>
                <w:sz w:val="20"/>
                <w:color w:val="0000FF"/>
              </w:rPr>
              <w:t>3、定期巡检</w:t>
            </w:r>
          </w:p>
          <w:p>
            <w:pPr>
              <w:pStyle w:val="null3"/>
              <w:jc w:val="both"/>
            </w:pPr>
            <w:r>
              <w:rPr>
                <w:rFonts w:ascii="仿宋_GB2312" w:hAnsi="仿宋_GB2312" w:cs="仿宋_GB2312" w:eastAsia="仿宋_GB2312"/>
                <w:sz w:val="20"/>
                <w:color w:val="0000FF"/>
              </w:rPr>
              <w:t>供应商需安排人员定期对进行例行巡检和预防性维护，每月对运行状态检查。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服务期满半年后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 ，并通过验收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成交公告发布后，成交供应商将2套纸质响应文件，递交至采购代理机构。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2.具有良好的商业信誉和健全的财务会计制度（提供2024年度财务审计报告或开标前6个月内银行资信证明或财政部门认可的政府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具有良好的商业信誉和健全的财务会计制度（提供2024年度财务审计报告或开标前6个月内银行资信证明或财政部门认可的政府 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本项目为非专门面向中小企业采购；满足要求的供应商须提供《中小企业声明函》并为其真实性负责；供应商需在项目电子化交易系统中按要求上传相应证明文件并进行电子签章。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法人身份证明或法定代表人授权委托书</w:t>
            </w:r>
          </w:p>
        </w:tc>
        <w:tc>
          <w:tcPr>
            <w:tcW w:type="dxa" w:w="3322"/>
          </w:tcPr>
          <w:p>
            <w:pPr>
              <w:pStyle w:val="null3"/>
            </w:pPr>
            <w:r>
              <w:rPr>
                <w:rFonts w:ascii="仿宋_GB2312" w:hAnsi="仿宋_GB2312" w:cs="仿宋_GB2312" w:eastAsia="仿宋_GB2312"/>
              </w:rPr>
              <w:t>法定代表人直接参加的，须提供法人身份证明；法定代表人授权他人参加的，须提供法定代表人授权委托书、被授权人身份证。供应商需在项目电子化交易系统中按要求上传相应证明文件并进行电子签章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供应商诚信承诺书.docx 拒绝商业贿赂承诺书.docx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对项目的总体理解</w:t>
            </w:r>
          </w:p>
        </w:tc>
        <w:tc>
          <w:tcPr>
            <w:tcW w:type="dxa" w:w="2492"/>
          </w:tcPr>
          <w:p>
            <w:pPr>
              <w:pStyle w:val="null3"/>
            </w:pPr>
            <w:r>
              <w:rPr>
                <w:rFonts w:ascii="仿宋_GB2312" w:hAnsi="仿宋_GB2312" w:cs="仿宋_GB2312" w:eastAsia="仿宋_GB2312"/>
              </w:rPr>
              <w:t>根据供应商对项目需求的理解和总体工作思路的把握进行综合评分。1、工作思路清晰，需求理解成熟完善得5分；2、工作思路较清晰，需求理解较成熟完善得3分；3、工作思路一般，需求理解不完善得1分。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供应商对项目需求分析准确，理解透彻，需求内容覆盖完整：1、对项目的各项服务内容进行完整、合理地阐述，实施方案完整、全面、可行、针对性强的计5分；2、对项目的服务内容进行完整、合理地阐述，方案有一定的可行性和针对性的计3分；3、对项目的服务内容阐述不完整，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异常数据判断与处理</w:t>
            </w:r>
          </w:p>
        </w:tc>
        <w:tc>
          <w:tcPr>
            <w:tcW w:type="dxa" w:w="2492"/>
          </w:tcPr>
          <w:p>
            <w:pPr>
              <w:pStyle w:val="null3"/>
            </w:pPr>
            <w:r>
              <w:rPr>
                <w:rFonts w:ascii="仿宋_GB2312" w:hAnsi="仿宋_GB2312" w:cs="仿宋_GB2312" w:eastAsia="仿宋_GB2312"/>
              </w:rPr>
              <w:t>供应商所提供的异常数据判断与处理方案与项目的适用性实施：1、方案完整、全面、可行、针对性强的计5分；2、实施方案有一定的可行性和针对性的计3分；3、实施方案合理性、针对性差的计1分。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应建立完善的质量保证和质量控制体系，制定相应质控措施：1、根据供应商提供的相应内容与项目的适用性：实施方案完整、全面、可行、针对性强的计5分；2、实施方案有一定的可行性和针对性的计3分；3、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供应商提供详细的系统硬件维护服务档案，根据实际情况，制定详细的服务支持计划：1、实施方案完整、全面、可行、针对性强的计5分；2、实施方案有一定的可行性和针对性的计3分；3、实施方案合理性、针对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定期预防性检查方案</w:t>
            </w:r>
          </w:p>
        </w:tc>
        <w:tc>
          <w:tcPr>
            <w:tcW w:type="dxa" w:w="2492"/>
          </w:tcPr>
          <w:p>
            <w:pPr>
              <w:pStyle w:val="null3"/>
            </w:pPr>
            <w:r>
              <w:rPr>
                <w:rFonts w:ascii="仿宋_GB2312" w:hAnsi="仿宋_GB2312" w:cs="仿宋_GB2312" w:eastAsia="仿宋_GB2312"/>
              </w:rPr>
              <w:t>供应商针对本项目有定期巡检和预防性维护方案：1、定期检查方案内容详细合理，科学、可行性高得5分；2、定期预防性检查方案具有合理性，基本可行得3分：3、定期预防性检查方案内容空泛，简单得1分。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内部管理制度及工作流程</w:t>
            </w:r>
          </w:p>
        </w:tc>
        <w:tc>
          <w:tcPr>
            <w:tcW w:type="dxa" w:w="2492"/>
          </w:tcPr>
          <w:p>
            <w:pPr>
              <w:pStyle w:val="null3"/>
            </w:pPr>
            <w:r>
              <w:rPr>
                <w:rFonts w:ascii="仿宋_GB2312" w:hAnsi="仿宋_GB2312" w:cs="仿宋_GB2312" w:eastAsia="仿宋_GB2312"/>
              </w:rPr>
              <w:t>1、管理制度、工作流程完整、可行、有效的计5分；2、管理制度、工作流程有一定的可行性和有效性的计3分；3、管理制度、工作流程简单不完整，可行性较差的计1分。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供应商针对本项目提供有效、可行的应急措施，充分考虑业务连续性，满足硬件出现应急状况、节假日值守等服务需求，提供整个项目实施过程中的风险防范措施，并有明确的承诺：1、应急措施方案全面合理，内容详细，措施完善得5分；2、应急措施方案合理，具有可行性得3分；3、应急措施方案空泛，无实质意义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供应商针对本项目提供保密方案：1、保密方案内容完整、可行性高、保密措施得当，并有相关承诺得5分；2、保密方案具有一定的合理可行性得3分；3、保密方案粗略，内容空泛得1分。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1、关键点分析准确，解决方案针对性强的计5分；2、关键点分析较准确、提出的解决方案有一定的针对性和可行性的计3分；3、关键点分析不准确、提出的解决方案合理性、可行性差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详尽可行的培训方案（包括但不限于：培训人员、培训时长、培训次数、培训方式、在培训期间以及服务期内提供完整的技术资料，运维服务手册、安全服务体系手册等）。1、培训方案安排科学，服务周全，可实施性强得5分；2、培训方案基本可行，可实施性一般得3分；3、培训方案可实施性简单粗略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针对本采购项目及采购人实际需求提供详细具体可行的售后服务承诺：1、售后服务承诺详细、得当得5分；2、售后服务承诺简略，内容不全得3分；3、售后服务承诺粗略，内容空泛得1分。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的合理化建议及保证服务质量的措施，若有则根据情况综合打分：1、相关内容具有针对性且可行的得5分；2、相关内容合理，可行，内容教完善的得3分；3、相关内容较简单、无特色、但基本可行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供应商具有有效期内的质量管理体系认证证书、环境管理体系认证、职业健康安全管理体系认证证书，每提供1个体系认证证书得1分，本项目最高得3分;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供应商针对本项目配备具有相应能力的服务人员：1.项目负责人具有环境相关专业高级职称的得 2分；(备注：需提供相关证明材料)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供应商针对本项目配备具有相应能力的服务人员：2.项目服务人员具有环境相关专业中级职称及以上每提供一个得 2 分，本项最高得 10 分。(备注：需提供相关证明材料)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供应商具有2022年1月1日至今（以合同签订时间为准）的类似（环保大气类）项目业绩，每提供一个计2分，满分10分。 注：供应商响应文件中提供合同复印件加盖供应商公章。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详见附件：报价一览表及报价明细表.docx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