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版本号：ZK-CS-2025-04220250818001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航天基地市政基础设施建设项目结算审核项目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ZK-CS-2025-042</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陕西梓鲲企业管理有限公司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陕西梓鲲企业管理有限公司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航天基地市政基础设施建设项目结算审核项目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ZK-CS-2025-042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航天基地市政基础设施建设项目结算审核项目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国家民用航天产业基地管理委员会航天基地市政基础设施建设项目结算审核项目，以高度的精准性与高效性，全面落实市政工程项目结算审核工作。通过严谨细致的审核流程，切实保障项目资金得到科学合理的运用，有力控制建设成本，为项目的顺利推进筑牢根基，确保施工单位能够及时、准确地完成工程结算，促进项目全流程的高效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采购包1（航天基地市政基础设施建设项目结算审核项目）：属于专门面向小微企业采购。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供应商应提供健全的财务会计制度的证明材料：供应商需在项目电子化交易系统中按要求上传提供具有审计资质单位出具的2023年度或2024年度经审计的财务报告，或其开标前六个月内开户银行出具的资信证明，或信用担保机构出具的投标担保函。（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pPr>
        <w:pStyle w:val="null3"/>
      </w:pPr>
      <w:r>
        <w:rPr>
          <w:rFonts w:ascii="仿宋_GB2312" w:hAnsi="仿宋_GB2312" w:cs="仿宋_GB2312" w:eastAsia="仿宋_GB2312"/>
        </w:rPr>
        <w:t>4、依法缴纳税收和社会保障资金：提供开标截止时间前6个月内任意时段已缴纳的纳税证明或完税证明和已缴存的社会保障资金缴费证明或参保证明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5、具有履行本合同所必需的设备和专业技术能力：提供具有履行本合同所必需的设备和专业技术能力的书面声明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7、项目负责人资质：拟派项目负责人具有一级造价工程师注册证书，且在本单位注册</w:t>
      </w:r>
    </w:p>
    <w:p>
      <w:pPr>
        <w:pStyle w:val="null3"/>
      </w:pPr>
      <w:r>
        <w:rPr>
          <w:rFonts w:ascii="仿宋_GB2312" w:hAnsi="仿宋_GB2312" w:cs="仿宋_GB2312" w:eastAsia="仿宋_GB2312"/>
        </w:rPr>
        <w:t>8、信誉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029-85688768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陕西梓鲲企业管理有限公司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陕西省西安市市辖区西安市高新区锦业一路与丈八二路十字东南角永威时代中心30楼3001室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陶莹、郭梦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029-81142611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陕西梓鲲企业管理有限公司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陕西梓鲲企业管理有限公司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陕西梓鲲企业管理有限公司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联系人：陶莹、郭梦</w:t>
      </w:r>
    </w:p>
    <w:p>
      <w:pPr>
        <w:pStyle w:val="null3"/>
      </w:pPr>
      <w:r>
        <w:rPr>
          <w:rFonts w:ascii="仿宋_GB2312" w:hAnsi="仿宋_GB2312" w:cs="仿宋_GB2312" w:eastAsia="仿宋_GB2312"/>
        </w:rPr>
        <w:t>联系电话：029-81142611</w:t>
      </w:r>
    </w:p>
    <w:p>
      <w:pPr>
        <w:pStyle w:val="null3"/>
      </w:pPr>
      <w:r>
        <w:rPr>
          <w:rFonts w:ascii="仿宋_GB2312" w:hAnsi="仿宋_GB2312" w:cs="仿宋_GB2312" w:eastAsia="仿宋_GB2312"/>
        </w:rPr>
        <w:t>地址：陕西省西安市高新区锦业一路与丈八二路十字东南角永威时代中心30楼3001室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根据西安航天基地党政办公室关于补充修订《西安国家民用航天产业基地管理委员会审计管理暂行办法》（西航天党政办发〔2024〕6 号）的通知，结算审核工作由于职责调整。因无具体实施流程，在此期间，持续累积数量较多的待结算的市政基础设施项目（见附件），导致施工单位无法办理工程结算手续并申请工程款，该问题在今年审计中亦被指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499,800.00</w:t>
      </w:r>
    </w:p>
    <w:p>
      <w:pPr>
        <w:pStyle w:val="null3"/>
      </w:pPr>
      <w:r>
        <w:rPr>
          <w:rFonts w:ascii="仿宋_GB2312" w:hAnsi="仿宋_GB2312" w:cs="仿宋_GB2312" w:eastAsia="仿宋_GB2312"/>
        </w:rPr>
        <w:t>采购包最高限价（元）: 499,800.00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招取一家第三方咨询服务单位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标的名称：招取一家第三方咨询服务单位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1"/>
                <w:b/>
                <w:color w:val="000000"/>
              </w:rPr>
              <w:t>一、服务目标</w:t>
            </w:r>
          </w:p>
          <w:p>
            <w:pPr>
              <w:pStyle w:val="null3"/>
              <w:ind w:firstLine="420"/>
              <w:jc w:val="left"/>
            </w:pPr>
            <w:r>
              <w:rPr>
                <w:rFonts w:ascii="仿宋_GB2312" w:hAnsi="仿宋_GB2312" w:cs="仿宋_GB2312" w:eastAsia="仿宋_GB2312"/>
                <w:sz w:val="21"/>
                <w:color w:val="000000"/>
              </w:rPr>
              <w:t>以高度的精准性与高效性，全面落实市政工程项目结算审核工作。通过严谨细致的审核流程，切实保障项目资金得到科学合理的运用，有力控制建设成本，为项目的顺利推进筑牢根基，确保施工单位能够及时、准确地完成工程结算，促进项目全流程的高效运转。</w:t>
            </w:r>
          </w:p>
          <w:p>
            <w:pPr>
              <w:pStyle w:val="null3"/>
              <w:spacing w:before="105" w:after="105"/>
              <w:jc w:val="left"/>
              <w:outlineLvl w:val="1"/>
            </w:pPr>
            <w:r>
              <w:rPr>
                <w:rFonts w:ascii="仿宋_GB2312" w:hAnsi="仿宋_GB2312" w:cs="仿宋_GB2312" w:eastAsia="仿宋_GB2312"/>
                <w:sz w:val="21"/>
                <w:b/>
                <w:color w:val="000000"/>
              </w:rPr>
              <w:t>二、服务内容</w:t>
            </w:r>
          </w:p>
          <w:p>
            <w:pPr>
              <w:pStyle w:val="null3"/>
              <w:ind w:firstLine="420"/>
              <w:jc w:val="left"/>
            </w:pPr>
            <w:r>
              <w:rPr>
                <w:rFonts w:ascii="仿宋_GB2312" w:hAnsi="仿宋_GB2312" w:cs="仿宋_GB2312" w:eastAsia="仿宋_GB2312"/>
                <w:sz w:val="21"/>
                <w:color w:val="000000"/>
              </w:rPr>
              <w:t>严格按照《陕西省工程造价咨询服务收费标准》</w:t>
            </w:r>
            <w:r>
              <w:rPr>
                <w:rFonts w:ascii="仿宋_GB2312" w:hAnsi="仿宋_GB2312" w:cs="仿宋_GB2312" w:eastAsia="仿宋_GB2312"/>
                <w:sz w:val="21"/>
                <w:color w:val="000000"/>
              </w:rPr>
              <w:t>(陕价行发 [2014] 88 号文) 及市场询价下浮后的标准，运用专业的造价审核工具与丰富的审核经验，对工程各项费用进行严格审核。从直接费中的人工、材料、机械费用，到间接费中的管理费、规费，再到利润和税金的计取，逐一进行细致审核，确保工程造价的合理性与合规性。</w:t>
            </w:r>
          </w:p>
          <w:p>
            <w:pPr>
              <w:pStyle w:val="null3"/>
              <w:ind w:firstLine="420"/>
              <w:jc w:val="left"/>
            </w:pPr>
            <w:r>
              <w:rPr>
                <w:rFonts w:ascii="仿宋_GB2312" w:hAnsi="仿宋_GB2312" w:cs="仿宋_GB2312" w:eastAsia="仿宋_GB2312"/>
                <w:sz w:val="21"/>
                <w:color w:val="000000"/>
              </w:rPr>
              <w:t>三、技术要求</w:t>
            </w:r>
          </w:p>
          <w:p>
            <w:pPr>
              <w:pStyle w:val="null3"/>
              <w:ind w:firstLine="420"/>
              <w:jc w:val="left"/>
            </w:pPr>
            <w:r>
              <w:rPr>
                <w:rFonts w:ascii="仿宋_GB2312" w:hAnsi="仿宋_GB2312" w:cs="仿宋_GB2312" w:eastAsia="仿宋_GB2312"/>
                <w:sz w:val="21"/>
                <w:color w:val="000000"/>
              </w:rPr>
              <w:t>1、具有独立承担民事责任能力的法人、其他组织或自然人；</w:t>
            </w:r>
          </w:p>
          <w:p>
            <w:pPr>
              <w:pStyle w:val="null3"/>
              <w:ind w:firstLine="420"/>
              <w:jc w:val="left"/>
            </w:pPr>
            <w:r>
              <w:rPr>
                <w:rFonts w:ascii="仿宋_GB2312" w:hAnsi="仿宋_GB2312" w:cs="仿宋_GB2312" w:eastAsia="仿宋_GB2312"/>
                <w:sz w:val="21"/>
                <w:color w:val="000000"/>
              </w:rPr>
              <w:t>2、对供应商项目成员要求：</w:t>
            </w:r>
          </w:p>
          <w:p>
            <w:pPr>
              <w:pStyle w:val="null3"/>
              <w:ind w:firstLine="420"/>
              <w:jc w:val="left"/>
            </w:pPr>
            <w:r>
              <w:rPr>
                <w:rFonts w:ascii="仿宋_GB2312" w:hAnsi="仿宋_GB2312" w:cs="仿宋_GB2312" w:eastAsia="仿宋_GB2312"/>
                <w:sz w:val="21"/>
                <w:color w:val="000000"/>
              </w:rPr>
              <w:t>(1)项目组成员(不包括项目负责人)人数不少于2人；</w:t>
            </w:r>
          </w:p>
          <w:p>
            <w:pPr>
              <w:pStyle w:val="null3"/>
              <w:ind w:firstLine="420"/>
              <w:jc w:val="left"/>
            </w:pPr>
            <w:r>
              <w:rPr>
                <w:rFonts w:ascii="仿宋_GB2312" w:hAnsi="仿宋_GB2312" w:cs="仿宋_GB2312" w:eastAsia="仿宋_GB2312"/>
                <w:sz w:val="21"/>
                <w:color w:val="000000"/>
              </w:rPr>
              <w:t>(2)项目组成员从业经验不少于三年；</w:t>
            </w:r>
          </w:p>
          <w:p>
            <w:pPr>
              <w:pStyle w:val="null3"/>
              <w:ind w:firstLine="420"/>
              <w:jc w:val="left"/>
            </w:pPr>
            <w:r>
              <w:rPr>
                <w:rFonts w:ascii="仿宋_GB2312" w:hAnsi="仿宋_GB2312" w:cs="仿宋_GB2312" w:eastAsia="仿宋_GB2312"/>
                <w:sz w:val="21"/>
                <w:color w:val="000000"/>
              </w:rPr>
              <w:t>(3)提供的项目组成员应具备注册造价师或中级造价员资格，且为本单位人员。</w:t>
            </w:r>
          </w:p>
          <w:p>
            <w:pPr>
              <w:pStyle w:val="null3"/>
              <w:ind w:firstLine="420"/>
              <w:jc w:val="left"/>
            </w:pPr>
            <w:r>
              <w:rPr>
                <w:rFonts w:ascii="仿宋_GB2312" w:hAnsi="仿宋_GB2312" w:cs="仿宋_GB2312" w:eastAsia="仿宋_GB2312"/>
                <w:sz w:val="21"/>
                <w:color w:val="000000"/>
              </w:rPr>
              <w:t>四、服务要求</w:t>
            </w:r>
          </w:p>
          <w:p>
            <w:pPr>
              <w:pStyle w:val="null3"/>
              <w:ind w:firstLine="420"/>
              <w:jc w:val="left"/>
            </w:pPr>
            <w:r>
              <w:rPr>
                <w:rFonts w:ascii="仿宋_GB2312" w:hAnsi="仿宋_GB2312" w:cs="仿宋_GB2312" w:eastAsia="仿宋_GB2312"/>
                <w:sz w:val="21"/>
                <w:color w:val="000000"/>
              </w:rPr>
              <w:t>1.人员数量、水平和现场工作时间，以及相应的成果要满足结算审核工作的要求，完成编制的相关时间节点不得突破2.合同签订后成立项目组，项目组成员与合同中的人员必须一致，且应根据采购人要求增加人员配备，但不得因此增加任何费用。</w:t>
            </w:r>
          </w:p>
          <w:p>
            <w:pPr>
              <w:pStyle w:val="null3"/>
              <w:ind w:firstLine="420"/>
              <w:jc w:val="left"/>
            </w:pPr>
            <w:r>
              <w:rPr>
                <w:rFonts w:ascii="仿宋_GB2312" w:hAnsi="仿宋_GB2312" w:cs="仿宋_GB2312" w:eastAsia="仿宋_GB2312"/>
                <w:sz w:val="21"/>
                <w:color w:val="000000"/>
              </w:rPr>
              <w:t>3.结合本项目特点，应根据采购人的安排进行必要的现场调查、座谈咨询等，但不得因此增加任何费用。按照工作范围和内容完成本项工作，并按约定向采购人汇报工作进展。项目实施过程中，供应商应注意密切关注相关政策要求，最终审核报告通过采购人验收。</w:t>
            </w:r>
          </w:p>
          <w:p>
            <w:pPr>
              <w:pStyle w:val="null3"/>
              <w:ind w:firstLine="420"/>
              <w:jc w:val="left"/>
            </w:pPr>
            <w:r>
              <w:rPr>
                <w:rFonts w:ascii="仿宋_GB2312" w:hAnsi="仿宋_GB2312" w:cs="仿宋_GB2312" w:eastAsia="仿宋_GB2312"/>
                <w:sz w:val="21"/>
                <w:color w:val="000000"/>
              </w:rPr>
              <w:t>4.参与本项目结算审核的资料、成果等知识产权归采购人有关的信息未经采购人同意不得向第三方泄露。供应商有责任对涉及项目的重要信息进行保密,如因为项目的开展需要向第三方提供资料,必须提前得到采购人批准。若供应商违反保密要求的约定，应当承担违约责任，并支付给采购人合同价的10%的违约金。</w:t>
            </w:r>
          </w:p>
          <w:p>
            <w:pPr>
              <w:pStyle w:val="null3"/>
              <w:ind w:firstLine="420"/>
              <w:jc w:val="left"/>
            </w:pPr>
            <w:r>
              <w:rPr>
                <w:rFonts w:ascii="仿宋_GB2312" w:hAnsi="仿宋_GB2312" w:cs="仿宋_GB2312" w:eastAsia="仿宋_GB2312"/>
                <w:sz w:val="21"/>
                <w:color w:val="000000"/>
              </w:rPr>
              <w:t>五、成果要求</w:t>
            </w:r>
          </w:p>
          <w:p>
            <w:pPr>
              <w:pStyle w:val="null3"/>
              <w:ind w:firstLine="420"/>
              <w:jc w:val="left"/>
            </w:pPr>
            <w:r>
              <w:rPr>
                <w:rFonts w:ascii="仿宋_GB2312" w:hAnsi="仿宋_GB2312" w:cs="仿宋_GB2312" w:eastAsia="仿宋_GB2312"/>
                <w:sz w:val="21"/>
                <w:color w:val="000000"/>
              </w:rPr>
              <w:t>成果文本的排版、装订要精美。按采购人要求向其提供纸质及电子文件，电子文件格式</w:t>
            </w:r>
            <w:r>
              <w:rPr>
                <w:rFonts w:ascii="仿宋_GB2312" w:hAnsi="仿宋_GB2312" w:cs="仿宋_GB2312" w:eastAsia="仿宋_GB2312"/>
                <w:sz w:val="21"/>
                <w:color w:val="000000"/>
              </w:rPr>
              <w:t>:包括但不限于dwg或JPEG格式</w:t>
            </w:r>
          </w:p>
          <w:p>
            <w:pPr>
              <w:pStyle w:val="null3"/>
              <w:ind w:firstLine="420"/>
              <w:jc w:val="left"/>
            </w:pPr>
            <w:r>
              <w:rPr>
                <w:rFonts w:ascii="仿宋_GB2312" w:hAnsi="仿宋_GB2312" w:cs="仿宋_GB2312" w:eastAsia="仿宋_GB2312"/>
                <w:sz w:val="21"/>
                <w:color w:val="000000"/>
              </w:rPr>
              <w:t>编制要求</w:t>
            </w:r>
            <w:r>
              <w:rPr>
                <w:rFonts w:ascii="仿宋_GB2312" w:hAnsi="仿宋_GB2312" w:cs="仿宋_GB2312" w:eastAsia="仿宋_GB2312"/>
                <w:sz w:val="21"/>
                <w:color w:val="000000"/>
              </w:rPr>
              <w:t>:符合陕价行发《陕西省工程造价咨询服务收费标准》(〔2014]88号)文件规定;</w:t>
            </w:r>
          </w:p>
          <w:p>
            <w:pPr>
              <w:pStyle w:val="null3"/>
              <w:ind w:firstLine="420"/>
              <w:jc w:val="left"/>
            </w:pPr>
            <w:r>
              <w:rPr>
                <w:rFonts w:ascii="仿宋_GB2312" w:hAnsi="仿宋_GB2312" w:cs="仿宋_GB2312" w:eastAsia="仿宋_GB2312"/>
                <w:sz w:val="21"/>
                <w:color w:val="000000"/>
              </w:rPr>
              <w:t>本项目要求质量等级为</w:t>
            </w:r>
            <w:r>
              <w:rPr>
                <w:rFonts w:ascii="仿宋_GB2312" w:hAnsi="仿宋_GB2312" w:cs="仿宋_GB2312" w:eastAsia="仿宋_GB2312"/>
                <w:sz w:val="21"/>
                <w:color w:val="000000"/>
              </w:rPr>
              <w:t>:合格</w:t>
            </w:r>
          </w:p>
          <w:p>
            <w:pPr>
              <w:pStyle w:val="null3"/>
              <w:ind w:firstLine="420"/>
              <w:jc w:val="left"/>
            </w:pPr>
            <w:r>
              <w:rPr>
                <w:rFonts w:ascii="仿宋_GB2312" w:hAnsi="仿宋_GB2312" w:cs="仿宋_GB2312" w:eastAsia="仿宋_GB2312"/>
                <w:sz w:val="21"/>
                <w:color w:val="000000"/>
              </w:rPr>
              <w:t>五、商务要求</w:t>
            </w:r>
          </w:p>
          <w:p>
            <w:pPr>
              <w:pStyle w:val="null3"/>
              <w:ind w:firstLine="420"/>
              <w:jc w:val="left"/>
            </w:pPr>
            <w:r>
              <w:rPr>
                <w:rFonts w:ascii="仿宋_GB2312" w:hAnsi="仿宋_GB2312" w:cs="仿宋_GB2312" w:eastAsia="仿宋_GB2312"/>
                <w:sz w:val="21"/>
                <w:color w:val="000000"/>
              </w:rPr>
              <w:t>(一)服务期限</w:t>
            </w:r>
          </w:p>
          <w:p>
            <w:pPr>
              <w:pStyle w:val="null3"/>
              <w:ind w:firstLine="420"/>
              <w:jc w:val="left"/>
            </w:pP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1年内。</w:t>
            </w:r>
          </w:p>
          <w:p>
            <w:pPr>
              <w:pStyle w:val="null3"/>
              <w:ind w:firstLine="420"/>
              <w:jc w:val="left"/>
            </w:pPr>
            <w:r>
              <w:rPr>
                <w:rFonts w:ascii="仿宋_GB2312" w:hAnsi="仿宋_GB2312" w:cs="仿宋_GB2312" w:eastAsia="仿宋_GB2312"/>
                <w:sz w:val="21"/>
                <w:color w:val="000000"/>
              </w:rPr>
              <w:t>(二)款项结算</w:t>
            </w:r>
          </w:p>
          <w:p>
            <w:pPr>
              <w:pStyle w:val="null3"/>
              <w:ind w:firstLine="420"/>
              <w:jc w:val="left"/>
            </w:pPr>
            <w:r>
              <w:rPr>
                <w:rFonts w:ascii="仿宋_GB2312" w:hAnsi="仿宋_GB2312" w:cs="仿宋_GB2312" w:eastAsia="仿宋_GB2312"/>
                <w:sz w:val="21"/>
                <w:color w:val="000000"/>
              </w:rPr>
              <w:t>(1)结算方式:由咨询人向委托人或建设单位办理结算手续，经委托人或建设单位审核无误后办理结算和支付事宜。</w:t>
            </w:r>
          </w:p>
          <w:p>
            <w:pPr>
              <w:pStyle w:val="null3"/>
              <w:jc w:val="left"/>
            </w:pPr>
            <w:r>
              <w:rPr>
                <w:rFonts w:ascii="仿宋_GB2312" w:hAnsi="仿宋_GB2312" w:cs="仿宋_GB2312" w:eastAsia="仿宋_GB2312"/>
                <w:sz w:val="21"/>
                <w:color w:val="000000"/>
              </w:rPr>
              <w:t>(2)合同款的支付:无预付款，由供应商发出服务费结算申请(应标明事由、项目名称、委托单位、联系人、送审金额等审定金额、审减率、服务费计算标准及计算过程等内容)供应商应在结算金额审定后，根据审定金额开具符合财政要求的全额正式税务发票，采购人根据结算付款审批程序办理付款手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西安国家民用航天产业基地管理委员会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乙方提交结算审核初稿后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完成合同内全部项目审核出具最终结算审核报告后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小型、微型企业或监狱企业或残疾人福利性单位。供应商为小型、微型企业的，提供《中小企业声明函》；供应商为监狱企业的，应提供监狱企业的证明文件；供应商为残疾人福利性单位的，应提供《残疾人福利性单位声明函》。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2023年度或2024年度经审计的财务报告，或其开标前六个月内开户银行出具的资信证明，或信用担保机构出具的投标担保函。（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拟派项目负责人具有一级造价工程师注册证书，且在本单位注册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报价依据.docx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内容包括但不限于：①相关法律、法规依据的理解；②服务目标；③市政工程项目结算审核任务的理解；④服务宗旨、内容及原则；⑤市政工程项目结算审核工作内容；⑥市政工程项目结算审核的风险控制；⑦对项目实施阶段、结算审计阶段进行廉政风险分析，并提出廉政风险及廉政风险防范措施；⑧市政工程项目结算审核方案；⑨结算审计方案（包含结算审核方法、结算审核内容、结算审核工作步骤等）；⑩服务质量控制措施。 以上内容专门针对本项目且符合本项目实际需求的得30分，每缺一项内容扣3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进度响应安排</w:t>
            </w:r>
          </w:p>
        </w:tc>
        <w:tc>
          <w:tcPr>
            <w:tcW w:type="dxa" w:w="2492"/>
          </w:tcPr>
          <w:p>
            <w:pPr>
              <w:pStyle w:val="null3"/>
            </w:pPr>
            <w:r>
              <w:rPr>
                <w:rFonts w:ascii="仿宋_GB2312" w:hAnsi="仿宋_GB2312" w:cs="仿宋_GB2312" w:eastAsia="仿宋_GB2312"/>
              </w:rPr>
              <w:t>内容包括但不限于①工作进度安排；②服务期间问题反馈机制及时效；③工程结算审核时效控制方案。以上内容专门针对本项目且符合本项目实际需求的得9分，每缺一项内容扣3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资料管理及保密廉洁措施</w:t>
            </w:r>
          </w:p>
        </w:tc>
        <w:tc>
          <w:tcPr>
            <w:tcW w:type="dxa" w:w="2492"/>
          </w:tcPr>
          <w:p>
            <w:pPr>
              <w:pStyle w:val="null3"/>
            </w:pPr>
            <w:r>
              <w:rPr>
                <w:rFonts w:ascii="仿宋_GB2312" w:hAnsi="仿宋_GB2312" w:cs="仿宋_GB2312" w:eastAsia="仿宋_GB2312"/>
              </w:rPr>
              <w:t>内容包括但不限于①资料存档的工作流程；②资料管理的岗位设置及工作纪律；③成果文件资料信息的复核机制；④项目保密范围及制度；⑤廉洁从业措施。以上内容专门针对本项目且符合本项目实际需求的得15分，每缺一项内容扣3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项目负责人配备</w:t>
            </w:r>
          </w:p>
        </w:tc>
        <w:tc>
          <w:tcPr>
            <w:tcW w:type="dxa" w:w="2492"/>
          </w:tcPr>
          <w:p>
            <w:pPr>
              <w:pStyle w:val="null3"/>
            </w:pPr>
            <w:r>
              <w:rPr>
                <w:rFonts w:ascii="仿宋_GB2312" w:hAnsi="仿宋_GB2312" w:cs="仿宋_GB2312" w:eastAsia="仿宋_GB2312"/>
              </w:rPr>
              <w:t>1、项目负责人具有≥20年工作经验得6分，10年≤工作经验＜20年得4分，5年≤工作经验＜10年得2分:。 2、项目负责人2022年1月1日至今具备类似项目业绩，以合同或相关审计或结算资料印件加盖公章为准，每提供一项得2分，最高得6分。(合同或审核报告等证明资料应能显示项目负责人姓名) 3、项目负责人具有高级职称的得4分，具有中级职称的得2分(提供项目负责人相关证书复印件) 注：上述人员必须为本单位在职人员且在本单位注册，提供人员社保或退休证，有效的资格证书、工作经验等相关证明材料，工作经验可提供能体现人员姓名的审计成果文件等材料。</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1、供应商提供近三年（2022年1月1日至今）同类型业绩，每提供一个得1分，满分10分；未提供不得分。 评审依据：时间以合同的签订日期为准， 以上业绩须提供合同复印件加盖公章。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项目组成员配置</w:t>
            </w:r>
          </w:p>
        </w:tc>
        <w:tc>
          <w:tcPr>
            <w:tcW w:type="dxa" w:w="2492"/>
          </w:tcPr>
          <w:p>
            <w:pPr>
              <w:pStyle w:val="null3"/>
            </w:pPr>
            <w:r>
              <w:rPr>
                <w:rFonts w:ascii="仿宋_GB2312" w:hAnsi="仿宋_GB2312" w:cs="仿宋_GB2312" w:eastAsia="仿宋_GB2312"/>
              </w:rPr>
              <w:t>项目组成员(不包括项目负责人)人数≥2人且从业经验≥3年:具有二级及以上注册造价工程师职业资格的人数≥2人，在此基础上每增加 1 名一级注册造价工程师加 1 分，每增加 1 名二级注册造价工程师加 0.5 分，满分10分。注：上述人员必须为本单位在职人员且在本单位注册，提供人员社保或退休证，有效的资格证书、工作经验等相关证明材料，工作经验可提供能体现人员姓名的审计成果文件等材料。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满足磋商文件要求且投标报价最低的供应商的价格为评标基准价，其价格分为满分。其他供应商的价格分统一按照下列公式计算：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报价依据.docx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详见附件：报价依据.docx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详见附件：服务方案响应格式.docx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详见附件：草拟合同.docx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