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版本号：DX2025-23220250820001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科学创新人才培养基地建设项目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DX2025-232</w:t>
      </w:r>
      <w:r>
        <w:br/>
      </w:r>
      <w:r>
        <w:br/>
      </w:r>
      <w:r>
        <w:br/>
      </w:r>
    </w:p>
    <w:p>
      <w:pPr>
        <w:pStyle w:val="null3"/>
        <w:jc w:val="center"/>
        <w:outlineLvl w:val="2"/>
      </w:pPr>
      <w:r>
        <w:rPr>
          <w:rFonts w:ascii="仿宋_GB2312" w:hAnsi="仿宋_GB2312" w:cs="仿宋_GB2312" w:eastAsia="仿宋_GB2312"/>
          <w:sz w:val="28"/>
          <w:b/>
        </w:rPr>
        <w:t>西安市航天城第一中学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西安市航天城第一中学</w:t>
      </w:r>
      <w:r>
        <w:rPr>
          <w:rFonts w:ascii="仿宋_GB2312" w:hAnsi="仿宋_GB2312" w:cs="仿宋_GB2312" w:eastAsia="仿宋_GB2312"/>
        </w:rPr>
        <w:t>委托，拟对</w:t>
      </w:r>
      <w:r>
        <w:rPr>
          <w:rFonts w:ascii="仿宋_GB2312" w:hAnsi="仿宋_GB2312" w:cs="仿宋_GB2312" w:eastAsia="仿宋_GB2312"/>
        </w:rPr>
        <w:t>科学创新人才培养基地建设项目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DX2025-232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科学创新人才培养基地建设项目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西安市航天城第一中学科学创新人才培养基地建设项目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本单位的社保缴纳证明）</w:t>
      </w:r>
    </w:p>
    <w:p>
      <w:pPr>
        <w:pStyle w:val="null3"/>
      </w:pPr>
      <w:r>
        <w:rPr>
          <w:rFonts w:ascii="仿宋_GB2312" w:hAnsi="仿宋_GB2312" w:cs="仿宋_GB2312" w:eastAsia="仿宋_GB2312"/>
        </w:rPr>
        <w:t>3、信用记录：经查，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4、特殊资格：1.供应商须具备建筑工程施工总承包三级及以上或建筑装修装饰工程专业承包二级及以上资质，具有合格有效的安全生产许可证；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西安市航天城航拓路1666</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吴风兵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029-85831666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李薇、张亚娜、刘艳娇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西安市航天城第一中学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西安市航天城第一中学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西安市航天城第一中学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联系人：张亚娜、刘艳娇、李薇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西安市航天城第一中学创新人才培养基地建设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标的名称：西安市航天城第一中学创新人才培养基地建设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一、概况及实施范围</w:t>
            </w:r>
          </w:p>
          <w:p>
            <w:pPr>
              <w:pStyle w:val="null3"/>
              <w:jc w:val="both"/>
            </w:pPr>
            <w:r>
              <w:rPr>
                <w:rFonts w:ascii="仿宋_GB2312" w:hAnsi="仿宋_GB2312" w:cs="仿宋_GB2312" w:eastAsia="仿宋_GB2312"/>
                <w:sz w:val="21"/>
              </w:rPr>
              <w:t>1、实施地点：甲方指定地点；</w:t>
            </w:r>
          </w:p>
          <w:p>
            <w:pPr>
              <w:pStyle w:val="null3"/>
              <w:jc w:val="both"/>
            </w:pPr>
            <w:r>
              <w:rPr>
                <w:rFonts w:ascii="仿宋_GB2312" w:hAnsi="仿宋_GB2312" w:cs="仿宋_GB2312" w:eastAsia="仿宋_GB2312"/>
                <w:sz w:val="21"/>
              </w:rPr>
              <w:t>2、工期：</w:t>
            </w:r>
            <w:r>
              <w:rPr>
                <w:rFonts w:ascii="仿宋_GB2312" w:hAnsi="仿宋_GB2312" w:cs="仿宋_GB2312" w:eastAsia="仿宋_GB2312"/>
                <w:sz w:val="21"/>
              </w:rPr>
              <w:t>70</w:t>
            </w:r>
            <w:r>
              <w:rPr>
                <w:rFonts w:ascii="仿宋_GB2312" w:hAnsi="仿宋_GB2312" w:cs="仿宋_GB2312" w:eastAsia="仿宋_GB2312"/>
                <w:sz w:val="21"/>
              </w:rPr>
              <w:t>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3、质保期：</w:t>
            </w:r>
            <w:r>
              <w:rPr>
                <w:rFonts w:ascii="仿宋_GB2312" w:hAnsi="仿宋_GB2312" w:cs="仿宋_GB2312" w:eastAsia="仿宋_GB2312"/>
                <w:sz w:val="21"/>
              </w:rPr>
              <w:t>2</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本项目通过电子化交易系统协商，供应商需在电子化交易系统上传响应的文件。中标供应商领取中标（成交）通知书时，向采购代理机构提供一正两副纸质投标文件及电子版1份（签字盖章扫描PDF和word文档格式，U盘存储）。 3.供应商应自协商文件递交截止时间起至开标结束，保持在线状态。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本单位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已标价工程量清单 第一次磋商报价表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完全理解并接受《供应商廉洁自律承诺书》、《供应商企业关系关联承诺书》、《承诺书》内容。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响应文件对付款、工期、质保期、合同条款等商务要求进行响应，根据响应程度计0-3分。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（合同）商务主要条款响应偏差表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具体可行的施工方案，包括但不限于：①提供详细的施工方案；②拟投入的施工设施、设备及配置情况；③施工进度计划安排：④施工工作质量、安全、进度控制保障措施：⑤数据及资料管理方案；⑥组织协调内容及措施；⑦工作重点与难点分析及对应措施。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上述7项评审内容全部满足评审标准得35分，每有一个评审内容缺项扣5分，每有一项评审内容存在缺陷，扣（0-5）分，扣完为止。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具体可行的人员配置方案，包括但不限于①团队机构设置、组成人员名单（包括但不限于项目经理、技术负责人、施工员、安全员、质量员、资料员），人员岗位职责；②项目经理及团队人员中具有与本项目相关的专业人员证书（包括但不限于学历证、职称证、岗位证书等），提供复印件。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 说明：缺陷是指内容没有结合项目实际需求、虽有内容但不完善、内容表述前后不一致、方案针对性较弱或与项目需求不匹配及其他不利于项目实施的等任意一种情形。 注:项目负责人及团队人员提供有效的相关证书复印件并加盖公章。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针对本项目提供具体可行的应急预案，包括但不限于： ①详细应急保障及应急处理团队； ②针对突发事件及紧急情况（包括防火、防盗、防骗、防事故，发生暴雨等灾害性天气，地震、火灾及停水、停电等其他突发事件）的应急预案； ③应急处理程序及设施设备。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及合理化建议，包括但不限于①服务质量承诺；②服务响应时限、人员到位、安全保障、不能完全履行承诺时愿意接受相关处罚等以及其他服务的承诺；③有利于本项目实施的合理化建议。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供应商具有2022年1月1日至今的类似项目业绩证明文件（以合同签订时间为准），提供合同复印件加盖公章，每提供一份得2分，满分10分。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详见附件：（合同）商务主要条款响应偏差表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详见附件：应急预案.</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