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版本号：DX2025-23620250822001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教学楼施工改造项目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DX2025-236</w:t>
      </w:r>
      <w:r>
        <w:br/>
      </w:r>
      <w:r>
        <w:br/>
      </w:r>
      <w:r>
        <w:br/>
      </w:r>
    </w:p>
    <w:p>
      <w:pPr>
        <w:pStyle w:val="null3"/>
        <w:jc w:val="center"/>
        <w:outlineLvl w:val="2"/>
      </w:pPr>
      <w:r>
        <w:rPr>
          <w:rFonts w:ascii="仿宋_GB2312" w:hAnsi="仿宋_GB2312" w:cs="仿宋_GB2312" w:eastAsia="仿宋_GB2312"/>
          <w:sz w:val="28"/>
          <w:b/>
        </w:rPr>
        <w:t>西安市航天城第一中学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西安市航天城第一中学</w:t>
      </w:r>
      <w:r>
        <w:rPr>
          <w:rFonts w:ascii="仿宋_GB2312" w:hAnsi="仿宋_GB2312" w:cs="仿宋_GB2312" w:eastAsia="仿宋_GB2312"/>
        </w:rPr>
        <w:t>委托，拟对</w:t>
      </w:r>
      <w:r>
        <w:rPr>
          <w:rFonts w:ascii="仿宋_GB2312" w:hAnsi="仿宋_GB2312" w:cs="仿宋_GB2312" w:eastAsia="仿宋_GB2312"/>
        </w:rPr>
        <w:t>教学楼施工改造项目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教学楼施工改造项目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西安市航天城第一中学教学楼施工改造项目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采购包1（教学楼施工改造项目）：属于专门面向中小企业采购。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p>
      <w:pPr>
        <w:pStyle w:val="null3"/>
      </w:pPr>
      <w:r>
        <w:rPr>
          <w:rFonts w:ascii="仿宋_GB2312" w:hAnsi="仿宋_GB2312" w:cs="仿宋_GB2312" w:eastAsia="仿宋_GB2312"/>
        </w:rPr>
        <w:t>3、信用记录：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西安市航天城航拓路1666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吴风兵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西安市航天城第一中学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联系人：张亚娜、刘艳娇、李薇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西安市航天城第一中学教学楼施工改造项目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标的名称：西安市航天城第一中学教学楼施工改造项目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1、项目概况：本工程为西安市航天城第一中学教学楼施工改造项目，包括墙顶修补刷漆、护墙板的安装内容；</w:t>
            </w:r>
          </w:p>
          <w:p>
            <w:pPr>
              <w:pStyle w:val="null3"/>
              <w:jc w:val="both"/>
            </w:pPr>
            <w:r>
              <w:rPr>
                <w:rFonts w:ascii="仿宋_GB2312" w:hAnsi="仿宋_GB2312" w:cs="仿宋_GB2312" w:eastAsia="仿宋_GB2312"/>
                <w:sz w:val="21"/>
              </w:rPr>
              <w:t>2、实施地点：甲方指定地点；</w:t>
            </w:r>
          </w:p>
          <w:p>
            <w:pPr>
              <w:pStyle w:val="null3"/>
              <w:jc w:val="both"/>
            </w:pPr>
            <w:r>
              <w:rPr>
                <w:rFonts w:ascii="仿宋_GB2312" w:hAnsi="仿宋_GB2312" w:cs="仿宋_GB2312" w:eastAsia="仿宋_GB2312"/>
                <w:sz w:val="21"/>
              </w:rPr>
              <w:t>3、工期：</w:t>
            </w:r>
            <w:r>
              <w:rPr>
                <w:rFonts w:ascii="仿宋_GB2312" w:hAnsi="仿宋_GB2312" w:cs="仿宋_GB2312" w:eastAsia="仿宋_GB2312"/>
                <w:sz w:val="21"/>
              </w:rPr>
              <w:t>20</w:t>
            </w:r>
            <w:r>
              <w:rPr>
                <w:rFonts w:ascii="仿宋_GB2312" w:hAnsi="仿宋_GB2312" w:cs="仿宋_GB2312" w:eastAsia="仿宋_GB2312"/>
                <w:sz w:val="21"/>
              </w:rPr>
              <w:t>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4、质保期：</w:t>
            </w:r>
            <w:r>
              <w:rPr>
                <w:rFonts w:ascii="仿宋_GB2312" w:hAnsi="仿宋_GB2312" w:cs="仿宋_GB2312" w:eastAsia="仿宋_GB2312"/>
                <w:sz w:val="21"/>
              </w:rPr>
              <w:t>2</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本单位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响应文件对付款、工期、质保期、合同条款等商务要求进行响应，根据响应程度计0-3分。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具体可行的人员配置方案，包括但不限于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 说明：缺陷是指内容没有结合项目实际需求、虽有内容但不完善、内容表述前后不一致、方案针对性较弱或与项目需求不匹配及其他不利于项目实施的等任意一种情形。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 ②针对突发事件及紧急情况（包括防火、防盗、防骗、防事故，发生暴雨等灾害性天气，地震、火灾及停水、停电等其他突发事件）的应急预案； ③应急处理程序及设施设备。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③有利于本项目实施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