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D8BC80">
      <w:pPr>
        <w:spacing w:before="169" w:line="219" w:lineRule="auto"/>
        <w:jc w:val="center"/>
        <w:rPr>
          <w:rFonts w:hint="eastAsia" w:ascii="宋体" w:hAnsi="宋体" w:eastAsia="宋体" w:cs="宋体"/>
          <w:b/>
          <w:bCs/>
          <w:spacing w:val="-3"/>
          <w:sz w:val="44"/>
          <w:szCs w:val="44"/>
          <w:lang w:val="en-US" w:eastAsia="zh-CN"/>
        </w:rPr>
      </w:pPr>
    </w:p>
    <w:p w14:paraId="02D8F16D">
      <w:pPr>
        <w:spacing w:before="169" w:line="219" w:lineRule="auto"/>
        <w:jc w:val="center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52"/>
          <w:szCs w:val="52"/>
          <w:lang w:val="en-US" w:eastAsia="zh-CN"/>
        </w:rPr>
        <w:t>劳动场地改造与建设项目</w:t>
      </w:r>
    </w:p>
    <w:p w14:paraId="603C3E83">
      <w:pPr>
        <w:pStyle w:val="2"/>
        <w:spacing w:line="251" w:lineRule="auto"/>
        <w:ind w:firstLine="2880" w:firstLineChars="1200"/>
        <w:rPr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项目编号：</w:t>
      </w:r>
    </w:p>
    <w:p w14:paraId="30A88FDE">
      <w:pPr>
        <w:pStyle w:val="2"/>
        <w:spacing w:line="251" w:lineRule="auto"/>
        <w:rPr>
          <w:lang w:eastAsia="zh-CN"/>
        </w:rPr>
      </w:pPr>
    </w:p>
    <w:p w14:paraId="1FA8E705">
      <w:pPr>
        <w:rPr>
          <w:lang w:eastAsia="zh-CN"/>
        </w:rPr>
      </w:pPr>
    </w:p>
    <w:p w14:paraId="1AEC8375">
      <w:pPr>
        <w:spacing w:before="306" w:line="221" w:lineRule="auto"/>
        <w:jc w:val="both"/>
        <w:outlineLvl w:val="0"/>
        <w:rPr>
          <w:rFonts w:ascii="宋体" w:hAnsi="宋体" w:eastAsia="宋体" w:cs="宋体"/>
          <w:spacing w:val="-25"/>
          <w:sz w:val="44"/>
          <w:szCs w:val="44"/>
          <w:lang w:eastAsia="zh-CN"/>
        </w:rPr>
      </w:pPr>
    </w:p>
    <w:p w14:paraId="463D5A07">
      <w:pPr>
        <w:spacing w:before="306" w:line="221" w:lineRule="auto"/>
        <w:jc w:val="center"/>
        <w:outlineLvl w:val="0"/>
        <w:rPr>
          <w:rFonts w:ascii="宋体" w:hAnsi="宋体" w:eastAsia="宋体" w:cs="宋体"/>
          <w:spacing w:val="-25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eastAsia="zh-CN"/>
        </w:rPr>
        <w:t>合</w:t>
      </w:r>
    </w:p>
    <w:p w14:paraId="241AD525">
      <w:pPr>
        <w:spacing w:before="306" w:line="221" w:lineRule="auto"/>
        <w:jc w:val="center"/>
        <w:outlineLvl w:val="0"/>
        <w:rPr>
          <w:rFonts w:hint="eastAsia" w:ascii="宋体" w:hAnsi="宋体" w:eastAsia="宋体" w:cs="宋体"/>
          <w:spacing w:val="-25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eastAsia="zh-CN"/>
        </w:rPr>
        <w:t>同</w:t>
      </w:r>
    </w:p>
    <w:p w14:paraId="76C4288E">
      <w:pPr>
        <w:spacing w:before="306" w:line="221" w:lineRule="auto"/>
        <w:jc w:val="center"/>
        <w:outlineLvl w:val="0"/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  <w:t>文</w:t>
      </w:r>
    </w:p>
    <w:p w14:paraId="42FEA7D7">
      <w:pPr>
        <w:spacing w:before="306" w:line="221" w:lineRule="auto"/>
        <w:jc w:val="center"/>
        <w:outlineLvl w:val="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  <w:t>本</w:t>
      </w:r>
    </w:p>
    <w:p w14:paraId="1D483FBF">
      <w:pPr>
        <w:pStyle w:val="2"/>
        <w:spacing w:line="276" w:lineRule="auto"/>
        <w:rPr>
          <w:lang w:eastAsia="zh-CN"/>
        </w:rPr>
      </w:pPr>
    </w:p>
    <w:p w14:paraId="62B38D1C">
      <w:pPr>
        <w:pStyle w:val="2"/>
        <w:spacing w:line="276" w:lineRule="auto"/>
        <w:rPr>
          <w:lang w:eastAsia="zh-CN"/>
        </w:rPr>
      </w:pPr>
    </w:p>
    <w:p w14:paraId="4EF018BA">
      <w:pPr>
        <w:pStyle w:val="2"/>
        <w:spacing w:line="276" w:lineRule="auto"/>
        <w:rPr>
          <w:lang w:eastAsia="zh-CN"/>
        </w:rPr>
      </w:pPr>
    </w:p>
    <w:p w14:paraId="47A44814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</w:pPr>
    </w:p>
    <w:p w14:paraId="4B0B0CFC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</w:pPr>
    </w:p>
    <w:p w14:paraId="1B196D47">
      <w:pPr>
        <w:pStyle w:val="2"/>
        <w:rPr>
          <w:rFonts w:hint="eastAsia"/>
          <w:lang w:eastAsia="zh-CN"/>
        </w:rPr>
      </w:pPr>
    </w:p>
    <w:p w14:paraId="17E990BF">
      <w:pPr>
        <w:spacing w:before="100" w:line="360" w:lineRule="auto"/>
        <w:ind w:left="0" w:leftChars="0" w:firstLine="2097" w:firstLineChars="704"/>
        <w:jc w:val="both"/>
        <w:rPr>
          <w:rFonts w:hint="default" w:ascii="宋体" w:hAnsi="宋体" w:eastAsia="宋体" w:cs="宋体"/>
          <w:spacing w:val="9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  <w:t>甲方：西安市</w:t>
      </w:r>
      <w:r>
        <w:rPr>
          <w:rFonts w:hint="eastAsia" w:ascii="宋体" w:hAnsi="宋体" w:eastAsia="宋体" w:cs="宋体"/>
          <w:spacing w:val="9"/>
          <w:sz w:val="28"/>
          <w:szCs w:val="28"/>
          <w:lang w:val="en-US" w:eastAsia="zh-CN"/>
        </w:rPr>
        <w:t>航天城第十学校</w:t>
      </w:r>
    </w:p>
    <w:p w14:paraId="38D1A72B">
      <w:pPr>
        <w:spacing w:before="100" w:line="360" w:lineRule="auto"/>
        <w:ind w:left="0" w:leftChars="0" w:firstLine="2097" w:firstLineChars="704"/>
        <w:rPr>
          <w:rFonts w:hint="eastAsia" w:ascii="宋体" w:hAnsi="宋体" w:eastAsia="宋体" w:cs="宋体"/>
          <w:spacing w:val="9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  <w:t>乙方：</w:t>
      </w:r>
      <w:r>
        <w:rPr>
          <w:rFonts w:hint="eastAsia" w:ascii="宋体" w:hAnsi="宋体" w:eastAsia="宋体" w:cs="宋体"/>
          <w:spacing w:val="9"/>
          <w:sz w:val="28"/>
          <w:szCs w:val="28"/>
          <w:u w:val="single"/>
          <w:lang w:eastAsia="zh-CN"/>
        </w:rPr>
        <w:t xml:space="preserve">                   </w:t>
      </w:r>
    </w:p>
    <w:p w14:paraId="44E09AC3">
      <w:pPr>
        <w:spacing w:before="100" w:line="360" w:lineRule="auto"/>
        <w:ind w:left="0" w:leftChars="0" w:firstLine="2097" w:firstLineChars="704"/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  <w:t>日期：</w:t>
      </w:r>
      <w:r>
        <w:rPr>
          <w:rFonts w:ascii="宋体" w:hAnsi="宋体" w:eastAsia="宋体" w:cs="宋体"/>
          <w:spacing w:val="-5"/>
          <w:sz w:val="28"/>
          <w:szCs w:val="28"/>
          <w:u w:val="single"/>
          <w:lang w:eastAsia="zh-CN"/>
        </w:rPr>
        <w:t xml:space="preserve">       </w:t>
      </w:r>
      <w:r>
        <w:rPr>
          <w:rFonts w:ascii="宋体" w:hAnsi="宋体" w:eastAsia="宋体" w:cs="宋体"/>
          <w:spacing w:val="-5"/>
          <w:sz w:val="28"/>
          <w:szCs w:val="28"/>
          <w:lang w:eastAsia="zh-CN"/>
        </w:rPr>
        <w:t>年</w:t>
      </w:r>
      <w:r>
        <w:rPr>
          <w:rFonts w:ascii="宋体" w:hAnsi="宋体" w:eastAsia="宋体" w:cs="宋体"/>
          <w:spacing w:val="-5"/>
          <w:sz w:val="28"/>
          <w:szCs w:val="28"/>
          <w:u w:val="single"/>
          <w:lang w:eastAsia="zh-CN"/>
        </w:rPr>
        <w:t xml:space="preserve">     </w:t>
      </w:r>
      <w:r>
        <w:rPr>
          <w:rFonts w:ascii="宋体" w:hAnsi="宋体" w:eastAsia="宋体" w:cs="宋体"/>
          <w:spacing w:val="-5"/>
          <w:sz w:val="28"/>
          <w:szCs w:val="28"/>
          <w:lang w:eastAsia="zh-CN"/>
        </w:rPr>
        <w:t>月</w:t>
      </w:r>
      <w:r>
        <w:rPr>
          <w:rFonts w:ascii="宋体" w:hAnsi="宋体" w:eastAsia="宋体" w:cs="宋体"/>
          <w:spacing w:val="-5"/>
          <w:sz w:val="28"/>
          <w:szCs w:val="28"/>
          <w:u w:val="single"/>
          <w:lang w:eastAsia="zh-CN"/>
        </w:rPr>
        <w:t xml:space="preserve">      </w:t>
      </w:r>
      <w:r>
        <w:rPr>
          <w:rFonts w:ascii="宋体" w:hAnsi="宋体" w:eastAsia="宋体" w:cs="宋体"/>
          <w:spacing w:val="-5"/>
          <w:sz w:val="28"/>
          <w:szCs w:val="28"/>
          <w:lang w:eastAsia="zh-CN"/>
        </w:rPr>
        <w:t>日</w:t>
      </w:r>
    </w:p>
    <w:p w14:paraId="3743A5FF">
      <w:pPr>
        <w:pStyle w:val="8"/>
        <w:jc w:val="center"/>
        <w:outlineLvl w:val="1"/>
        <w:rPr>
          <w:b/>
          <w:sz w:val="36"/>
        </w:rPr>
      </w:pPr>
      <w:r>
        <w:rPr>
          <w:b/>
          <w:sz w:val="36"/>
        </w:rPr>
        <w:br w:type="page"/>
      </w:r>
      <w:r>
        <w:rPr>
          <w:b/>
          <w:sz w:val="36"/>
        </w:rPr>
        <w:t>拟签订合同文本</w:t>
      </w:r>
    </w:p>
    <w:p w14:paraId="00D97640">
      <w:pPr>
        <w:pStyle w:val="3"/>
        <w:numPr>
          <w:ilvl w:val="0"/>
          <w:numId w:val="0"/>
        </w:numPr>
        <w:ind w:right="1470" w:rightChars="700"/>
      </w:pPr>
    </w:p>
    <w:p w14:paraId="015AE17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甲方：</w:t>
      </w:r>
      <w:r>
        <w:rPr>
          <w:rFonts w:hint="eastAsia" w:hAnsi="宋体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</w:t>
      </w:r>
    </w:p>
    <w:p w14:paraId="516CE2C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乙方：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hAnsi="宋体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</w:p>
    <w:p w14:paraId="76F6A9E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根据《中华人民共和国民法典》《中华人民共和国建筑法》及有关法律规定，遵循平等、自愿、公平和诚实信用的原则，双方就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>劳动场地改造与建设项目</w:t>
      </w:r>
      <w:r>
        <w:rPr>
          <w:rFonts w:hint="eastAsia" w:hAnsi="宋体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及有关事项协商一致，共同达成如下协议：</w:t>
      </w:r>
    </w:p>
    <w:p w14:paraId="1A36B05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</w:rPr>
      </w:pPr>
      <w:bookmarkStart w:id="0" w:name="_Toc27153"/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</w:rPr>
        <w:t>一、工程概况</w:t>
      </w:r>
      <w:bookmarkEnd w:id="0"/>
    </w:p>
    <w:p w14:paraId="4580985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工程名称：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>劳动场地改造与建设项目</w:t>
      </w:r>
    </w:p>
    <w:p w14:paraId="7D13F5A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工程地点：</w:t>
      </w:r>
      <w:r>
        <w:rPr>
          <w:rFonts w:hint="eastAsia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>采购人指定地点</w:t>
      </w:r>
    </w:p>
    <w:p w14:paraId="666ECC4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</w:rPr>
      </w:pPr>
      <w:bookmarkStart w:id="1" w:name="_Toc15779"/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</w:rPr>
        <w:t>工程内容</w:t>
      </w:r>
      <w:bookmarkEnd w:id="1"/>
    </w:p>
    <w:p w14:paraId="5B06E00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西安市航天城第十学校劳动场地的功能型改造与空间的搭建，包含太空农场的场地建设、电路改造等一体化空间建设。</w:t>
      </w:r>
    </w:p>
    <w:p w14:paraId="46719619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</w:rPr>
      </w:pPr>
      <w:bookmarkStart w:id="2" w:name="_Toc18991"/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</w:rPr>
        <w:t>工期</w:t>
      </w:r>
      <w:bookmarkEnd w:id="2"/>
    </w:p>
    <w:p w14:paraId="3C7D4D52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highlight w:val="none"/>
          <w:shd w:val="clear" w:color="auto" w:fill="FFFFFF"/>
          <w:vertAlign w:val="baseline"/>
          <w:lang w:val="en-US" w:eastAsia="zh-CN" w:bidi="ar-SA"/>
        </w:rPr>
        <w:t>自合同签订之日起15天。</w:t>
      </w:r>
    </w:p>
    <w:p w14:paraId="478BB601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</w:rPr>
      </w:pPr>
      <w:bookmarkStart w:id="3" w:name="_Toc23220"/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</w:rPr>
        <w:t>承包方式</w:t>
      </w:r>
      <w:bookmarkEnd w:id="3"/>
    </w:p>
    <w:p w14:paraId="03FE6698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包工包料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合同总价一次性包死</w:t>
      </w:r>
    </w:p>
    <w:p w14:paraId="6A4F1769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</w:rPr>
      </w:pPr>
      <w:bookmarkStart w:id="4" w:name="_Toc25304"/>
      <w:r>
        <w:rPr>
          <w:rFonts w:hint="eastAsia" w:hAnsi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五、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</w:rPr>
        <w:t>工程质量</w:t>
      </w:r>
      <w:bookmarkEnd w:id="4"/>
    </w:p>
    <w:p w14:paraId="2F54275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必须达到国家及行业现行技术规范标准，符合国家及行业验收合格标准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。</w:t>
      </w:r>
    </w:p>
    <w:p w14:paraId="5FD28E04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</w:rPr>
      </w:pPr>
      <w:bookmarkStart w:id="5" w:name="_Toc18623"/>
      <w:r>
        <w:rPr>
          <w:rFonts w:hint="eastAsia" w:hAnsi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六、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</w:rPr>
        <w:t>合同价款</w:t>
      </w:r>
      <w:bookmarkEnd w:id="5"/>
    </w:p>
    <w:p w14:paraId="4F64ABD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合同价：总价（大写）：</w:t>
      </w:r>
      <w:r>
        <w:rPr>
          <w:rFonts w:hint="eastAsia" w:hAnsi="宋体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整（￥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）</w:t>
      </w:r>
    </w:p>
    <w:p w14:paraId="0B05D345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outlineLvl w:val="1"/>
        <w:rPr>
          <w:rFonts w:hint="eastAsia" w:hAnsi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bookmarkStart w:id="6" w:name="_Toc22976"/>
      <w:r>
        <w:rPr>
          <w:rFonts w:hint="eastAsia" w:hAnsi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七、付款方式</w:t>
      </w:r>
      <w:bookmarkEnd w:id="6"/>
    </w:p>
    <w:p w14:paraId="538A55A0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付款方式：待工程竣工现场验收合格后，达到付款条件起30日内，支付合同总金额的100.00%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1F4B6C71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outlineLvl w:val="1"/>
        <w:rPr>
          <w:rFonts w:hint="eastAsia" w:hAnsi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bookmarkStart w:id="7" w:name="_Toc25999"/>
      <w:r>
        <w:rPr>
          <w:rFonts w:hint="eastAsia" w:hAnsi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八、工程质量保修</w:t>
      </w:r>
      <w:bookmarkEnd w:id="7"/>
      <w:r>
        <w:rPr>
          <w:rFonts w:hint="eastAsia" w:hAnsi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 xml:space="preserve"> </w:t>
      </w:r>
    </w:p>
    <w:p w14:paraId="1CF86C97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.质量保修期</w:t>
      </w:r>
      <w:r>
        <w:rPr>
          <w:rFonts w:hint="eastAsia" w:hAnsi="宋体" w:cs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验收合格后2年。</w:t>
      </w:r>
    </w:p>
    <w:p w14:paraId="7B2E474A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工程需要维修时，乙方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需24小时内到场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进行维修，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确保不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影响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使用或造成其他不良影响。</w:t>
      </w:r>
    </w:p>
    <w:p w14:paraId="181B9911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outlineLvl w:val="1"/>
        <w:rPr>
          <w:rFonts w:hint="eastAsia" w:hAnsi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bookmarkStart w:id="8" w:name="_Toc12510"/>
      <w:r>
        <w:rPr>
          <w:rFonts w:hint="eastAsia" w:hAnsi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九、甲方责任</w:t>
      </w:r>
      <w:bookmarkEnd w:id="8"/>
    </w:p>
    <w:p w14:paraId="522DAD93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甲方须向乙方做详细的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现场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交底。</w:t>
      </w:r>
    </w:p>
    <w:p w14:paraId="1AAE37DF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甲方负责确保施工用水、用电。</w:t>
      </w:r>
    </w:p>
    <w:p w14:paraId="02605EF1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协调施工中遇到的其他不可预见的各种问题。</w:t>
      </w:r>
    </w:p>
    <w:p w14:paraId="7FFC701A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甲方不提供住宿及临设场地，由乙方自行解决。</w:t>
      </w:r>
    </w:p>
    <w:p w14:paraId="1E8F7871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outlineLvl w:val="1"/>
        <w:rPr>
          <w:rFonts w:hint="eastAsia" w:hAnsi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bookmarkStart w:id="9" w:name="_Toc16684"/>
      <w:r>
        <w:rPr>
          <w:rFonts w:hint="eastAsia" w:hAnsi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十、乙方责任</w:t>
      </w:r>
      <w:bookmarkEnd w:id="9"/>
    </w:p>
    <w:p w14:paraId="705AD38B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乙方要严格按照甲方要求及施工验收规范进行施工。</w:t>
      </w:r>
    </w:p>
    <w:p w14:paraId="05709A7D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乙方所用的施工人员须具备相关从业资格证，经甲方审核后方可上岗。</w:t>
      </w:r>
    </w:p>
    <w:p w14:paraId="2CDED106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保证施工现场整洁，交工前必须做到活完场净。施工现场乙方要根据工作需要，设置围栏，警示标志，夜间使用的照明设施。施工中发生的一切工伤事故，由乙方负责。</w:t>
      </w:r>
    </w:p>
    <w:p w14:paraId="6F390850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乙方应做好施工现场的防火、高坠、物体打击等安全管理工作，对施工中造成的安全事故全部由乙方负责并承担相应的法律责任。</w:t>
      </w:r>
    </w:p>
    <w:p w14:paraId="35C87CC4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5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乙方负责施工垃圾清理外运工作，垃圾需装袋集中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堆放，并按规范做好围挡及覆盖，垃圾清运应做到日清日结。同时应采取有效措施保护施工现场的内外环境，使粉尘、噪音等指标符合环境保护要求，避免施工引起的环境问题造成人身或财产损害。</w:t>
      </w:r>
    </w:p>
    <w:p w14:paraId="409C6BC2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outlineLvl w:val="1"/>
        <w:rPr>
          <w:rFonts w:hint="eastAsia" w:hAnsi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bookmarkStart w:id="10" w:name="_Toc15942"/>
      <w:r>
        <w:rPr>
          <w:rFonts w:hint="eastAsia" w:hAnsi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十一、工程工期的延误</w:t>
      </w:r>
      <w:bookmarkEnd w:id="10"/>
    </w:p>
    <w:p w14:paraId="36C6CA37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施工过程中，乙方出现下列情况的，工期相应顺延。</w:t>
      </w:r>
    </w:p>
    <w:p w14:paraId="5AC30486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不可抗力造成灾害影响正常施工的。</w:t>
      </w:r>
    </w:p>
    <w:p w14:paraId="5A440D41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甲方重大设计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/计划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变更。</w:t>
      </w:r>
    </w:p>
    <w:p w14:paraId="17068B9D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其他非乙方原因造成的停工。</w:t>
      </w:r>
    </w:p>
    <w:p w14:paraId="50DFCB0F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乙方在第十一条1款约定的情况发生后一日内，应就延期情况向甲方代表提出报告，甲方代表应于收到报告两日内予以确认、答复，逾期不予答复，视为延期要求已被确认。</w:t>
      </w:r>
    </w:p>
    <w:p w14:paraId="21D4023A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outlineLvl w:val="1"/>
        <w:rPr>
          <w:rFonts w:hint="eastAsia" w:hAnsi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bookmarkStart w:id="11" w:name="_Toc28380"/>
      <w:r>
        <w:rPr>
          <w:rFonts w:hint="eastAsia" w:hAnsi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十二、工程竣工及验收</w:t>
      </w:r>
      <w:bookmarkEnd w:id="11"/>
    </w:p>
    <w:p w14:paraId="4A2ABEFE">
      <w:pPr>
        <w:keepNext w:val="0"/>
        <w:keepLines w:val="0"/>
        <w:widowControl/>
        <w:suppressLineNumbers w:val="0"/>
        <w:spacing w:line="360" w:lineRule="auto"/>
        <w:ind w:firstLine="720" w:firstLineChars="3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1.工程竣工后，乙方应在工程竣工验收前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向甲方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提交项目实施过程中的所有资料。</w:t>
      </w:r>
    </w:p>
    <w:p w14:paraId="3D57AE15">
      <w:pPr>
        <w:keepNext w:val="0"/>
        <w:keepLines w:val="0"/>
        <w:widowControl/>
        <w:suppressLineNumbers w:val="0"/>
        <w:spacing w:line="360" w:lineRule="auto"/>
        <w:ind w:firstLine="720" w:firstLineChars="3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2.验收须以合同、采购文件、响应文件、澄清（如有）、国家相应的标准、规范等为依据。</w:t>
      </w:r>
    </w:p>
    <w:p w14:paraId="7068B491">
      <w:pPr>
        <w:keepNext w:val="0"/>
        <w:keepLines w:val="0"/>
        <w:widowControl/>
        <w:suppressLineNumbers w:val="0"/>
        <w:spacing w:line="360" w:lineRule="auto"/>
        <w:ind w:firstLine="720" w:firstLineChars="3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3.符合中华人民共和国国家和履约地相关安全质量标准、行业技术规范标准、环保节能标准。</w:t>
      </w:r>
    </w:p>
    <w:p w14:paraId="660EBF66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4.甲方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在合同的履行期间以及履行期后，可以随时检查项目的执行情况，对采购标准、采购内容进行调查核实，并对发现的问题进行处理。</w:t>
      </w:r>
    </w:p>
    <w:p w14:paraId="3A71792F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eastAsia="宋体" w:cs="宋体"/>
          <w:color w:val="auto"/>
          <w:sz w:val="24"/>
          <w:szCs w:val="24"/>
          <w:highlight w:val="none"/>
          <w:lang w:val="en-US" w:eastAsia="zh-CN"/>
        </w:rPr>
        <w:t>5.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甲方应在收到乙方竣工验收报告及相关资料15日内组织工程验收。</w:t>
      </w:r>
    </w:p>
    <w:p w14:paraId="18FF0A47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outlineLvl w:val="1"/>
        <w:rPr>
          <w:rFonts w:hint="eastAsia" w:hAnsi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bookmarkStart w:id="12" w:name="_Toc3995"/>
      <w:r>
        <w:rPr>
          <w:rFonts w:hint="eastAsia" w:hAnsi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十三、违约责任</w:t>
      </w:r>
      <w:bookmarkEnd w:id="12"/>
    </w:p>
    <w:p w14:paraId="1FC502AF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合同签订后，任何一方不得无故终止合同。如单方终止合同，承担违约责任。</w:t>
      </w:r>
    </w:p>
    <w:p w14:paraId="13DEE615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一方无法继续履行合同需终止履行并解除合同的，应及时通知另一方，因合同解除而造成的损失由责任方承担。</w:t>
      </w:r>
    </w:p>
    <w:p w14:paraId="6934F594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甲方无正当理由不按本合同规定的付款时间给付工程款，每延误一日承担未履行部分款项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0.1%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的违约金。</w:t>
      </w:r>
    </w:p>
    <w:p w14:paraId="568D6CDB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因乙方责任导致工程质量不合格的，乙方负责对质量不合格部分进行返工修理。因返工修理造成的工程延期交付，视同工期延误。因工程质量不合格造成甲方损害的，乙方承担赔偿责任。</w:t>
      </w:r>
    </w:p>
    <w:p w14:paraId="365D0748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5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因乙方原因造成工期延误，每延误一天，按合同总价款的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1 %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向甲方支付违约金。</w:t>
      </w:r>
    </w:p>
    <w:p w14:paraId="5CA8ABF1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outlineLvl w:val="1"/>
        <w:rPr>
          <w:rFonts w:hint="eastAsia" w:hAnsi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bookmarkStart w:id="13" w:name="_Toc22345"/>
      <w:r>
        <w:rPr>
          <w:rFonts w:hint="eastAsia" w:hAnsi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十四、合同争议的解决方式</w:t>
      </w:r>
      <w:bookmarkEnd w:id="13"/>
    </w:p>
    <w:p w14:paraId="131EC558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本合同在履行过程中发生争议，由双方协商解决。协商不成的，双方均可通过诉讼方式解决。</w:t>
      </w:r>
    </w:p>
    <w:p w14:paraId="65B806D3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outlineLvl w:val="1"/>
        <w:rPr>
          <w:rFonts w:hint="eastAsia" w:hAnsi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bookmarkStart w:id="14" w:name="_Toc32303"/>
      <w:r>
        <w:rPr>
          <w:rFonts w:hint="eastAsia" w:hAnsi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十五、合同的变更和解除</w:t>
      </w:r>
      <w:bookmarkEnd w:id="14"/>
    </w:p>
    <w:p w14:paraId="24E532A2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合同生效后，任何一方不得随意变更合同内容。确需变更合同内容的，应经双方协商一致后重新签订补充合同。</w:t>
      </w:r>
    </w:p>
    <w:p w14:paraId="586FB673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合同签订后，因不可抗力致使合同确已无法全面履行的，经双方协商一致可解除合同。</w:t>
      </w:r>
    </w:p>
    <w:p w14:paraId="28B11883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因乙方的原因，致使工程在规定的期限内不能完工或质量不合格的，甲方有权终止合同，由此造成的各项损失由乙方承担，并赔偿甲方的损失。</w:t>
      </w:r>
      <w:bookmarkStart w:id="15" w:name="_Toc23712"/>
    </w:p>
    <w:p w14:paraId="5A6B3C8E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hAnsi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十六、廉洁自律相关条款</w:t>
      </w:r>
      <w:bookmarkEnd w:id="15"/>
    </w:p>
    <w:p w14:paraId="5498F8E5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甲乙双方遵守廉洁自律规定，严格执行合同条款，自觉按照合同办事，维护双方合法利益。</w:t>
      </w:r>
    </w:p>
    <w:p w14:paraId="702CBDF4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在合同执行中，乙方不给予或暗示给予甲方工作人员任何利益，并自觉抵制任何索贿行为；甲方给乙方工作便利，不得吃、拿、卡、要，要自觉抵制任何行贿行为。</w:t>
      </w:r>
    </w:p>
    <w:p w14:paraId="0C916262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乙方发现甲方相关工作人员有不廉洁行为，应及时向甲方主管或监察处等部门举报。</w:t>
      </w:r>
    </w:p>
    <w:p w14:paraId="7654E251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甲方发现乙方有商业行贿行为或严重违反合同条款，有权取消或终止本合同，由此给甲、乙造成的损失均由乙方承担，乙方不得有异议。</w:t>
      </w:r>
    </w:p>
    <w:p w14:paraId="7AB7A06F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outlineLvl w:val="1"/>
        <w:rPr>
          <w:rFonts w:hint="eastAsia" w:hAnsi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bookmarkStart w:id="16" w:name="_Toc8464"/>
      <w:r>
        <w:rPr>
          <w:rFonts w:hint="eastAsia" w:hAnsi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十七、其他</w:t>
      </w:r>
      <w:bookmarkEnd w:id="16"/>
    </w:p>
    <w:p w14:paraId="09ADB4D4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乙方施工过程中，应遵循劳动协议、安全防护等相关法律法规，采取严格的安全防护措施，确保施工安全，承担由于自身安全措施不力造成的责任和因此发生的损失。</w:t>
      </w:r>
    </w:p>
    <w:p w14:paraId="48B95C7F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工程施工过程中若发生重大伤亡事故，乙方应按有关规定立即上报有关部门并通知甲方，并积极处理善后事宜。</w:t>
      </w:r>
    </w:p>
    <w:p w14:paraId="413E2D51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本合同经甲、乙双方签字盖章后生效。工程竣工验收，甲方结清工程款，乙方将工程交付甲方后，除有关保修条款仍然生效外，本合同其他条款效力终止。保修条款效力至保修期满终止。</w:t>
      </w:r>
    </w:p>
    <w:p w14:paraId="74D95443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4.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本合同工程不能转包。</w:t>
      </w:r>
    </w:p>
    <w:p w14:paraId="1F463EBD">
      <w:pPr>
        <w:pStyle w:val="4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5.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本合同未尽事宜，甲乙双方应本着友好的精神予以协商解决，达成补充协议。补充协议与本合同具有同等效力。</w:t>
      </w:r>
    </w:p>
    <w:p w14:paraId="4F23F61C">
      <w:pPr>
        <w:tabs>
          <w:tab w:val="left" w:pos="720"/>
          <w:tab w:val="left" w:pos="900"/>
        </w:tabs>
        <w:autoSpaceDE w:val="0"/>
        <w:autoSpaceDN w:val="0"/>
        <w:spacing w:line="520" w:lineRule="exact"/>
        <w:outlineLvl w:val="1"/>
        <w:rPr>
          <w:rFonts w:ascii="宋体" w:hAnsi="宋体" w:eastAsia="宋体" w:cs="宋体"/>
          <w:sz w:val="24"/>
          <w:szCs w:val="24"/>
        </w:rPr>
      </w:pPr>
      <w:bookmarkStart w:id="17" w:name="_Toc26858"/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 w:bidi="ar-SA"/>
        </w:rPr>
        <w:t>十八、合同</w:t>
      </w: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val="en-US" w:eastAsia="zh-CN" w:bidi="ar-SA"/>
        </w:rPr>
        <w:t>订立</w:t>
      </w:r>
      <w:bookmarkEnd w:id="17"/>
    </w:p>
    <w:p w14:paraId="44953D9F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1.订立时间：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日。</w:t>
      </w:r>
    </w:p>
    <w:p w14:paraId="0B8C17DA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2.订立地点：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1DDE4101">
      <w:pPr>
        <w:keepNext w:val="0"/>
        <w:keepLines w:val="0"/>
        <w:pageBreakBefore w:val="0"/>
        <w:widowControl w:val="0"/>
        <w:tabs>
          <w:tab w:val="left" w:pos="980"/>
        </w:tabs>
        <w:kinsoku w:val="0"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3.本合同一式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份，具有同等法律效力，双方各执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份。各方签字盖章后生效，合同执行完毕自动失效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 w14:paraId="29D8EE1D">
      <w:pPr>
        <w:pStyle w:val="5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1C89544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（以下为签字盖章页）</w:t>
      </w:r>
    </w:p>
    <w:p w14:paraId="548C9D2F">
      <w:pPr>
        <w:rPr>
          <w:rFonts w:hint="eastAsia"/>
        </w:rPr>
      </w:pPr>
    </w:p>
    <w:p w14:paraId="2C970B2D">
      <w:pPr>
        <w:rPr>
          <w:rFonts w:hint="eastAsia"/>
        </w:rPr>
      </w:pPr>
    </w:p>
    <w:tbl>
      <w:tblPr>
        <w:tblStyle w:val="6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9"/>
        <w:gridCol w:w="4957"/>
      </w:tblGrid>
      <w:tr w14:paraId="2189D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0BF413A">
            <w:pPr>
              <w:tabs>
                <w:tab w:val="left" w:pos="980"/>
              </w:tabs>
              <w:kinsoku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甲方</w:t>
            </w:r>
          </w:p>
        </w:tc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BC8F3C8">
            <w:pPr>
              <w:tabs>
                <w:tab w:val="left" w:pos="980"/>
              </w:tabs>
              <w:kinsoku w:val="0"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乙方</w:t>
            </w:r>
          </w:p>
        </w:tc>
      </w:tr>
      <w:tr w14:paraId="34B68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9" w:hRule="exact"/>
          <w:jc w:val="center"/>
        </w:trPr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12E15F4">
            <w:pPr>
              <w:tabs>
                <w:tab w:val="left" w:pos="980"/>
              </w:tabs>
              <w:kinsoku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单位全称（盖章）：</w:t>
            </w:r>
          </w:p>
          <w:p w14:paraId="69E3D130">
            <w:pPr>
              <w:tabs>
                <w:tab w:val="left" w:pos="980"/>
              </w:tabs>
              <w:kinsoku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法定代表人/委托代理人：</w:t>
            </w:r>
          </w:p>
          <w:p w14:paraId="432CE500">
            <w:pPr>
              <w:tabs>
                <w:tab w:val="left" w:pos="980"/>
              </w:tabs>
              <w:kinsoku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单位地址：</w:t>
            </w:r>
          </w:p>
          <w:p w14:paraId="331AC07E">
            <w:pPr>
              <w:tabs>
                <w:tab w:val="left" w:pos="980"/>
              </w:tabs>
              <w:kinsoku w:val="0"/>
              <w:spacing w:line="36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联系方式：</w:t>
            </w:r>
          </w:p>
          <w:p w14:paraId="3FB81753">
            <w:pPr>
              <w:tabs>
                <w:tab w:val="left" w:pos="980"/>
              </w:tabs>
              <w:kinsoku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签署日期：</w:t>
            </w:r>
          </w:p>
          <w:p w14:paraId="3D4D2E58">
            <w:pPr>
              <w:tabs>
                <w:tab w:val="left" w:pos="980"/>
              </w:tabs>
              <w:kinsoku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485A120">
            <w:pPr>
              <w:tabs>
                <w:tab w:val="left" w:pos="980"/>
              </w:tabs>
              <w:kinsoku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单位全称（盖章）：</w:t>
            </w:r>
          </w:p>
          <w:p w14:paraId="3A4D08C5">
            <w:pPr>
              <w:tabs>
                <w:tab w:val="left" w:pos="980"/>
              </w:tabs>
              <w:kinsoku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法定代表人/委托代理人：</w:t>
            </w:r>
          </w:p>
          <w:p w14:paraId="11D6F07B">
            <w:pPr>
              <w:tabs>
                <w:tab w:val="left" w:pos="980"/>
              </w:tabs>
              <w:kinsoku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单位地址：</w:t>
            </w:r>
          </w:p>
          <w:p w14:paraId="226E979F">
            <w:pPr>
              <w:tabs>
                <w:tab w:val="left" w:pos="980"/>
              </w:tabs>
              <w:kinsoku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联系方式：</w:t>
            </w:r>
          </w:p>
          <w:p w14:paraId="748DE734">
            <w:pPr>
              <w:tabs>
                <w:tab w:val="left" w:pos="980"/>
              </w:tabs>
              <w:kinsoku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企业税号：</w:t>
            </w:r>
          </w:p>
          <w:p w14:paraId="5CF05FCB">
            <w:pPr>
              <w:tabs>
                <w:tab w:val="left" w:pos="980"/>
              </w:tabs>
              <w:kinsoku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开户银行：</w:t>
            </w:r>
          </w:p>
          <w:p w14:paraId="76BB1377">
            <w:pPr>
              <w:tabs>
                <w:tab w:val="left" w:pos="980"/>
              </w:tabs>
              <w:kinsoku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银行账户：</w:t>
            </w:r>
          </w:p>
          <w:p w14:paraId="507FBBED">
            <w:pPr>
              <w:tabs>
                <w:tab w:val="left" w:pos="980"/>
              </w:tabs>
              <w:kinsoku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签署日期：</w:t>
            </w:r>
          </w:p>
          <w:p w14:paraId="4452A9EF">
            <w:pPr>
              <w:pStyle w:val="2"/>
              <w:rPr>
                <w:rFonts w:hint="eastAsia"/>
                <w:lang w:val="en-US" w:eastAsia="zh-CN"/>
              </w:rPr>
            </w:pPr>
          </w:p>
          <w:p w14:paraId="7614FBED">
            <w:pPr>
              <w:rPr>
                <w:rFonts w:hint="default"/>
                <w:lang w:val="en-US" w:eastAsia="zh-CN"/>
              </w:rPr>
            </w:pPr>
          </w:p>
          <w:p w14:paraId="431D30DE">
            <w:pPr>
              <w:tabs>
                <w:tab w:val="left" w:pos="980"/>
              </w:tabs>
              <w:kinsoku w:val="0"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FC5FBB0"/>
    <w:p w14:paraId="11572803">
      <w:bookmarkStart w:id="18" w:name="_GoBack"/>
      <w:bookmarkEnd w:id="18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69979C"/>
    <w:multiLevelType w:val="singleLevel"/>
    <w:tmpl w:val="D569979C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6F5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lock Text"/>
    <w:basedOn w:val="1"/>
    <w:next w:val="4"/>
    <w:qFormat/>
    <w:uiPriority w:val="0"/>
    <w:pPr>
      <w:spacing w:after="120"/>
      <w:ind w:left="1440" w:leftChars="700" w:right="700" w:rightChars="700"/>
    </w:pPr>
  </w:style>
  <w:style w:type="paragraph" w:styleId="4">
    <w:name w:val="Plain Text"/>
    <w:basedOn w:val="1"/>
    <w:next w:val="1"/>
    <w:qFormat/>
    <w:uiPriority w:val="0"/>
    <w:rPr>
      <w:rFonts w:ascii="宋体" w:hAnsi="宋体"/>
      <w:szCs w:val="21"/>
    </w:rPr>
  </w:style>
  <w:style w:type="paragraph" w:styleId="5">
    <w:name w:val="toc 1"/>
    <w:basedOn w:val="1"/>
    <w:next w:val="1"/>
    <w:qFormat/>
    <w:uiPriority w:val="0"/>
  </w:style>
  <w:style w:type="paragraph" w:customStyle="1" w:styleId="8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2025-08-27T11:36:22Z</dcterms:created>
  <dc:creator>中达国创</dc:creator>
  <cp:lastModifiedBy>T iA mo.</cp:lastModifiedBy>
  <dcterms:modified xsi:type="dcterms:W3CDTF">2025-08-27T11:36:40Z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eyJoZGlkIjoiMTFiYTM4ZWIzOTJmMDVhMjc1OTBhMDEwNmRmMDAwNDUiLCJ1c2VySWQiOiIxMjY1MTc4OTA3In0=</vt:lpwstr>
  </property>
  <property fmtid="{D5CDD505-2E9C-101B-9397-08002B2CF9AE}" pid="4" name="ICV">
    <vt:lpwstr>F345C5B5A5AE4D69836C88B955734F84_12</vt:lpwstr>
  </property>
</Properties>
</file>