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版本号：ZDGC-ZC-250113320250827002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劳动场地改造与建设项目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ZDGC-ZC-2501133</w:t>
      </w:r>
      <w:r>
        <w:br/>
      </w:r>
      <w:r>
        <w:br/>
      </w:r>
      <w:r>
        <w:br/>
      </w:r>
    </w:p>
    <w:p>
      <w:pPr>
        <w:pStyle w:val="null3"/>
        <w:jc w:val="center"/>
        <w:outlineLvl w:val="2"/>
      </w:pPr>
      <w:r>
        <w:rPr>
          <w:rFonts w:ascii="仿宋_GB2312" w:hAnsi="仿宋_GB2312" w:cs="仿宋_GB2312" w:eastAsia="仿宋_GB2312"/>
          <w:sz w:val="28"/>
          <w:b/>
        </w:rPr>
        <w:t>西安市航天城第十学校</w:t>
      </w:r>
    </w:p>
    <w:p>
      <w:pPr>
        <w:pStyle w:val="null3"/>
        <w:jc w:val="center"/>
        <w:outlineLvl w:val="2"/>
      </w:pPr>
      <w:r>
        <w:rPr>
          <w:rFonts w:ascii="仿宋_GB2312" w:hAnsi="仿宋_GB2312" w:cs="仿宋_GB2312" w:eastAsia="仿宋_GB2312"/>
          <w:sz w:val="28"/>
          <w:b/>
        </w:rPr>
        <w:t>陕西中达国创项目管理有限公司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西安市航天城第十学校</w:t>
      </w:r>
      <w:r>
        <w:rPr>
          <w:rFonts w:ascii="仿宋_GB2312" w:hAnsi="仿宋_GB2312" w:cs="仿宋_GB2312" w:eastAsia="仿宋_GB2312"/>
        </w:rPr>
        <w:t>委托，拟对</w:t>
      </w:r>
      <w:r>
        <w:rPr>
          <w:rFonts w:ascii="仿宋_GB2312" w:hAnsi="仿宋_GB2312" w:cs="仿宋_GB2312" w:eastAsia="仿宋_GB2312"/>
        </w:rPr>
        <w:t>劳动场地改造与建设项目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ZDGC-ZC-2501133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劳动场地改造与建设项目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西安市航天城第十学校劳动场地的功能型改造与空间的搭建，包含太空农场的场地建设、电路改造等一体化空间建设。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采购包1（劳动场地改造与建设项目）：属于专门面向中小企业采购。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p>
      <w:pPr>
        <w:pStyle w:val="null3"/>
      </w:pPr>
      <w:r>
        <w:rPr>
          <w:rFonts w:ascii="仿宋_GB2312" w:hAnsi="仿宋_GB2312" w:cs="仿宋_GB2312" w:eastAsia="仿宋_GB2312"/>
        </w:rPr>
        <w:t>3、税收缴纳证明：供应商提供开标前一年内任意一个月已缴纳的税收缴纳凭证或完税证明；依法免税单位的应提供相关文件证明。</w:t>
      </w:r>
    </w:p>
    <w:p>
      <w:pPr>
        <w:pStyle w:val="null3"/>
      </w:pPr>
      <w:r>
        <w:rPr>
          <w:rFonts w:ascii="仿宋_GB2312" w:hAnsi="仿宋_GB2312" w:cs="仿宋_GB2312" w:eastAsia="仿宋_GB2312"/>
        </w:rPr>
        <w:t>4、社会保障资金缴纳证明：供应商提供开标前一年内任意一个月已缴纳的社会保障资金缴存单据或社保机构开具的社会保险参保缴费情况证明；依法不需要缴纳社会保障资金的应提供相关文件证明。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信用记录：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8、法定代表人授权委托书：法定代表人参加磋商的，须提供法人身份证明和本人身份证复印件；法定代表人授权他人参加磋商的，须提供法定代表人授权委托书和被授权人身份证复印件。</w:t>
      </w:r>
    </w:p>
    <w:p>
      <w:pPr>
        <w:pStyle w:val="null3"/>
      </w:pPr>
      <w:r>
        <w:rPr>
          <w:rFonts w:ascii="仿宋_GB2312" w:hAnsi="仿宋_GB2312" w:cs="仿宋_GB2312" w:eastAsia="仿宋_GB2312"/>
        </w:rPr>
        <w:t>9、企业资质：具备建设部门颁发的有效的建筑工程施工总承包三级及以上（含三级）资质或建筑装修装饰工程专业承包二级及以上（含二级）资质，且具有有效的安全生产许可证。</w:t>
      </w:r>
    </w:p>
    <w:p>
      <w:pPr>
        <w:pStyle w:val="null3"/>
      </w:pPr>
      <w:r>
        <w:rPr>
          <w:rFonts w:ascii="仿宋_GB2312" w:hAnsi="仿宋_GB2312" w:cs="仿宋_GB2312" w:eastAsia="仿宋_GB2312"/>
        </w:rPr>
        <w:t>10、拟派项目负责人资格：拟派项目负责人具备有效的建筑工程专业二级及以上（含二级）注册建造师资格，具备有效的安全生产考核合格证，在本单位注册且无在建工程（承诺书）。</w:t>
      </w:r>
    </w:p>
    <w:p>
      <w:pPr>
        <w:pStyle w:val="null3"/>
      </w:pPr>
      <w:r>
        <w:rPr>
          <w:rFonts w:ascii="仿宋_GB2312" w:hAnsi="仿宋_GB2312" w:cs="仿宋_GB2312" w:eastAsia="仿宋_GB2312"/>
        </w:rPr>
        <w:t>11、非联合体不分包声明：本项目不接受联合体响应，不允许分包。供应商提供《非联合体不分包声明》，视为独立响应，不分包。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西安市航天城第十学校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陕西省西安市航天基地航天中路与航天东路十字东北角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汪文彬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13659116222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陕西省西安市雁塔区朱雀大街南段15号明德盛荟2号楼616室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王凯、李颖华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029-88661828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定额收取，本项目代理服务费为6000.00元，供应商在领取中标/成交通知书前一次性全额缴清。代理服务费缴纳至以下账户：单位名称：陕西中达国创项目管理有限公司 税号：91610113MACB61DD30 开户行：中国农业银行股份有限公司西安南二环支行 账号：26126701040022149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西安市航天城第十学校</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西安市航天城第十学校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西安市航天城第十学校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陕西中达国创项目管理有限公司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联系人：王凯、李颖华</w:t>
      </w:r>
    </w:p>
    <w:p>
      <w:pPr>
        <w:pStyle w:val="null3"/>
      </w:pPr>
      <w:r>
        <w:rPr>
          <w:rFonts w:ascii="仿宋_GB2312" w:hAnsi="仿宋_GB2312" w:cs="仿宋_GB2312" w:eastAsia="仿宋_GB2312"/>
        </w:rPr>
        <w:t>联系电话：029-88661828</w:t>
      </w:r>
    </w:p>
    <w:p>
      <w:pPr>
        <w:pStyle w:val="null3"/>
      </w:pPr>
      <w:r>
        <w:rPr>
          <w:rFonts w:ascii="仿宋_GB2312" w:hAnsi="仿宋_GB2312" w:cs="仿宋_GB2312" w:eastAsia="仿宋_GB2312"/>
        </w:rPr>
        <w:t>地址：陕西省西安市雁塔区朱雀大街南段15号明德盛荟2号楼616室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劳动场地改造与建设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标的名称：劳动场地改造与建设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237"/>
              <w:gridCol w:w="718"/>
              <w:gridCol w:w="919"/>
              <w:gridCol w:w="335"/>
              <w:gridCol w:w="330"/>
            </w:tblGrid>
            <w:tr>
              <w:tc>
                <w:tcPr>
                  <w:tcW w:type="dxa" w:w="237"/>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序号</w:t>
                  </w:r>
                </w:p>
              </w:tc>
              <w:tc>
                <w:tcPr>
                  <w:tcW w:type="dxa" w:w="718"/>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名称</w:t>
                  </w:r>
                </w:p>
              </w:tc>
              <w:tc>
                <w:tcPr>
                  <w:tcW w:type="dxa" w:w="919"/>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规格型号</w:t>
                  </w:r>
                </w:p>
              </w:tc>
              <w:tc>
                <w:tcPr>
                  <w:tcW w:type="dxa" w:w="335"/>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color w:val="000000"/>
                    </w:rPr>
                    <w:t>单位</w:t>
                  </w:r>
                </w:p>
              </w:tc>
              <w:tc>
                <w:tcPr>
                  <w:tcW w:type="dxa" w:w="3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color w:val="000000"/>
                    </w:rPr>
                    <w:t>数量</w:t>
                  </w:r>
                </w:p>
              </w:tc>
            </w:tr>
            <w:tr>
              <w:tc>
                <w:tcPr>
                  <w:tcW w:type="dxa" w:w="2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1</w:t>
                  </w:r>
                </w:p>
              </w:tc>
              <w:tc>
                <w:tcPr>
                  <w:tcW w:type="dxa" w:w="7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315"/>
                    <w:jc w:val="both"/>
                  </w:pPr>
                  <w:r>
                    <w:rPr>
                      <w:rFonts w:ascii="仿宋_GB2312" w:hAnsi="仿宋_GB2312" w:cs="仿宋_GB2312" w:eastAsia="仿宋_GB2312"/>
                      <w:sz w:val="24"/>
                      <w:color w:val="000000"/>
                    </w:rPr>
                    <w:t>太空舱地面基础</w:t>
                  </w:r>
                  <w:r>
                    <w:rPr>
                      <w:rFonts w:ascii="仿宋_GB2312" w:hAnsi="仿宋_GB2312" w:cs="仿宋_GB2312" w:eastAsia="仿宋_GB2312"/>
                      <w:sz w:val="24"/>
                      <w:color w:val="000000"/>
                    </w:rPr>
                    <w:t>及底座</w:t>
                  </w:r>
                </w:p>
              </w:tc>
              <w:tc>
                <w:tcPr>
                  <w:tcW w:type="dxa" w:w="9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地面开挖深度：</w:t>
                  </w:r>
                  <w:r>
                    <w:rPr>
                      <w:rFonts w:ascii="仿宋_GB2312" w:hAnsi="仿宋_GB2312" w:cs="仿宋_GB2312" w:eastAsia="仿宋_GB2312"/>
                      <w:sz w:val="24"/>
                      <w:color w:val="000000"/>
                    </w:rPr>
                    <w:t>80公分、3:7灰土夯实、浇筑钢筋混凝</w:t>
                  </w:r>
                  <w:r>
                    <w:rPr>
                      <w:rFonts w:ascii="仿宋_GB2312" w:hAnsi="仿宋_GB2312" w:cs="仿宋_GB2312" w:eastAsia="仿宋_GB2312"/>
                      <w:sz w:val="24"/>
                      <w:color w:val="000000"/>
                    </w:rPr>
                    <w:t>土</w:t>
                  </w:r>
                  <w:r>
                    <w:rPr>
                      <w:rFonts w:ascii="仿宋_GB2312" w:hAnsi="仿宋_GB2312" w:cs="仿宋_GB2312" w:eastAsia="仿宋_GB2312"/>
                      <w:sz w:val="24"/>
                      <w:color w:val="000000"/>
                    </w:rPr>
                    <w:t>（</w:t>
                  </w:r>
                  <w:r>
                    <w:rPr>
                      <w:rFonts w:ascii="仿宋_GB2312" w:hAnsi="仿宋_GB2312" w:cs="仿宋_GB2312" w:eastAsia="仿宋_GB2312"/>
                      <w:sz w:val="24"/>
                    </w:rPr>
                    <w:t>C30</w:t>
                  </w:r>
                  <w:r>
                    <w:rPr>
                      <w:rFonts w:ascii="仿宋_GB2312" w:hAnsi="仿宋_GB2312" w:cs="仿宋_GB2312" w:eastAsia="仿宋_GB2312"/>
                      <w:sz w:val="24"/>
                      <w:color w:val="000000"/>
                    </w:rPr>
                    <w:t>）</w:t>
                  </w:r>
                </w:p>
              </w:tc>
              <w:tc>
                <w:tcPr>
                  <w:tcW w:type="dxa" w:w="3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个</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5.00</w:t>
                  </w:r>
                </w:p>
              </w:tc>
            </w:tr>
            <w:tr>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2</w:t>
                  </w:r>
                </w:p>
              </w:tc>
              <w:tc>
                <w:tcPr>
                  <w:tcW w:type="dxa" w:w="7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right="315"/>
                    <w:jc w:val="both"/>
                  </w:pPr>
                  <w:r>
                    <w:rPr>
                      <w:rFonts w:ascii="仿宋_GB2312" w:hAnsi="仿宋_GB2312" w:cs="仿宋_GB2312" w:eastAsia="仿宋_GB2312"/>
                      <w:sz w:val="24"/>
                      <w:color w:val="000000"/>
                    </w:rPr>
                    <w:t>太空舱钢结构骨</w:t>
                  </w:r>
                  <w:r>
                    <w:rPr>
                      <w:rFonts w:ascii="仿宋_GB2312" w:hAnsi="仿宋_GB2312" w:cs="仿宋_GB2312" w:eastAsia="仿宋_GB2312"/>
                      <w:sz w:val="24"/>
                      <w:color w:val="000000"/>
                    </w:rPr>
                    <w:t>架</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95" w:right="150"/>
                    <w:jc w:val="center"/>
                  </w:pPr>
                  <w:r>
                    <w:rPr>
                      <w:rFonts w:ascii="仿宋_GB2312" w:hAnsi="仿宋_GB2312" w:cs="仿宋_GB2312" w:eastAsia="仿宋_GB2312"/>
                      <w:sz w:val="24"/>
                      <w:color w:val="000000"/>
                    </w:rPr>
                    <w:t>10*10方钢、壁厚</w:t>
                  </w:r>
                  <w:r>
                    <w:rPr>
                      <w:rFonts w:ascii="仿宋_GB2312" w:hAnsi="仿宋_GB2312" w:cs="仿宋_GB2312" w:eastAsia="仿宋_GB2312"/>
                      <w:sz w:val="24"/>
                      <w:color w:val="000000"/>
                    </w:rPr>
                    <w:t>:6mm</w:t>
                  </w: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m²</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180.35</w:t>
                  </w:r>
                </w:p>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7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right="330"/>
                    <w:jc w:val="both"/>
                  </w:pPr>
                  <w:r>
                    <w:rPr>
                      <w:rFonts w:ascii="仿宋_GB2312" w:hAnsi="仿宋_GB2312" w:cs="仿宋_GB2312" w:eastAsia="仿宋_GB2312"/>
                      <w:sz w:val="24"/>
                      <w:color w:val="000000"/>
                    </w:rPr>
                    <w:t>太空舱外造型装</w:t>
                  </w:r>
                  <w:r>
                    <w:rPr>
                      <w:rFonts w:ascii="仿宋_GB2312" w:hAnsi="仿宋_GB2312" w:cs="仿宋_GB2312" w:eastAsia="仿宋_GB2312"/>
                      <w:sz w:val="24"/>
                      <w:color w:val="000000"/>
                    </w:rPr>
                    <w:t>饰及玻璃窗</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jc w:val="center"/>
                  </w:pPr>
                  <w:r>
                    <w:rPr>
                      <w:rFonts w:ascii="仿宋_GB2312" w:hAnsi="仿宋_GB2312" w:cs="仿宋_GB2312" w:eastAsia="仿宋_GB2312"/>
                      <w:sz w:val="24"/>
                      <w:color w:val="000000"/>
                    </w:rPr>
                    <w:t>压制造型铝板厚</w:t>
                  </w:r>
                  <w:r>
                    <w:rPr>
                      <w:rFonts w:ascii="仿宋_GB2312" w:hAnsi="仿宋_GB2312" w:cs="仿宋_GB2312" w:eastAsia="仿宋_GB2312"/>
                      <w:sz w:val="24"/>
                      <w:color w:val="000000"/>
                    </w:rPr>
                    <w:t>度</w:t>
                  </w:r>
                  <w:r>
                    <w:rPr>
                      <w:rFonts w:ascii="仿宋_GB2312" w:hAnsi="仿宋_GB2312" w:cs="仿宋_GB2312" w:eastAsia="仿宋_GB2312"/>
                      <w:sz w:val="24"/>
                      <w:color w:val="000000"/>
                    </w:rPr>
                    <w:t>3</w:t>
                  </w:r>
                  <w:r>
                    <w:rPr>
                      <w:rFonts w:ascii="仿宋_GB2312" w:hAnsi="仿宋_GB2312" w:cs="仿宋_GB2312" w:eastAsia="仿宋_GB2312"/>
                      <w:sz w:val="24"/>
                      <w:color w:val="000000"/>
                    </w:rPr>
                    <w:t>mm</w:t>
                  </w:r>
                  <w:r>
                    <w:rPr>
                      <w:rFonts w:ascii="仿宋_GB2312" w:hAnsi="仿宋_GB2312" w:cs="仿宋_GB2312" w:eastAsia="仿宋_GB2312"/>
                      <w:sz w:val="24"/>
                      <w:color w:val="000000"/>
                    </w:rPr>
                    <w:t>、打磨彩色</w:t>
                  </w:r>
                  <w:r>
                    <w:rPr>
                      <w:rFonts w:ascii="仿宋_GB2312" w:hAnsi="仿宋_GB2312" w:cs="仿宋_GB2312" w:eastAsia="仿宋_GB2312"/>
                      <w:sz w:val="24"/>
                      <w:color w:val="000000"/>
                    </w:rPr>
                    <w:t>喷涂</w:t>
                  </w: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m²</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180.35</w:t>
                  </w:r>
                </w:p>
              </w:tc>
            </w:tr>
            <w:tr>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4</w:t>
                  </w:r>
                </w:p>
              </w:tc>
              <w:tc>
                <w:tcPr>
                  <w:tcW w:type="dxa" w:w="7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right="105"/>
                    <w:jc w:val="both"/>
                  </w:pPr>
                  <w:r>
                    <w:rPr>
                      <w:rFonts w:ascii="仿宋_GB2312" w:hAnsi="仿宋_GB2312" w:cs="仿宋_GB2312" w:eastAsia="仿宋_GB2312"/>
                      <w:sz w:val="24"/>
                      <w:color w:val="000000"/>
                    </w:rPr>
                    <w:t>太空舱室内墙、顶</w:t>
                  </w:r>
                  <w:r>
                    <w:rPr>
                      <w:rFonts w:ascii="仿宋_GB2312" w:hAnsi="仿宋_GB2312" w:cs="仿宋_GB2312" w:eastAsia="仿宋_GB2312"/>
                      <w:sz w:val="24"/>
                      <w:color w:val="000000"/>
                    </w:rPr>
                    <w:t>、地装饰造型</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0" w:right="90"/>
                    <w:jc w:val="center"/>
                  </w:pPr>
                  <w:r>
                    <w:rPr>
                      <w:rFonts w:ascii="仿宋_GB2312" w:hAnsi="仿宋_GB2312" w:cs="仿宋_GB2312" w:eastAsia="仿宋_GB2312"/>
                      <w:sz w:val="24"/>
                      <w:color w:val="000000"/>
                    </w:rPr>
                    <w:t>环保板材、环保涂</w:t>
                  </w:r>
                  <w:r>
                    <w:rPr>
                      <w:rFonts w:ascii="仿宋_GB2312" w:hAnsi="仿宋_GB2312" w:cs="仿宋_GB2312" w:eastAsia="仿宋_GB2312"/>
                      <w:sz w:val="24"/>
                      <w:color w:val="000000"/>
                    </w:rPr>
                    <w:t>料</w:t>
                  </w: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m²</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113.67</w:t>
                  </w:r>
                </w:p>
              </w:tc>
            </w:tr>
            <w:tr>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5</w:t>
                  </w:r>
                </w:p>
              </w:tc>
              <w:tc>
                <w:tcPr>
                  <w:tcW w:type="dxa" w:w="7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both"/>
                  </w:pPr>
                  <w:r>
                    <w:rPr>
                      <w:rFonts w:ascii="仿宋_GB2312" w:hAnsi="仿宋_GB2312" w:cs="仿宋_GB2312" w:eastAsia="仿宋_GB2312"/>
                      <w:sz w:val="24"/>
                      <w:color w:val="000000"/>
                    </w:rPr>
                    <w:t>太空舱接引强电</w:t>
                  </w:r>
                  <w:r>
                    <w:rPr>
                      <w:rFonts w:ascii="仿宋_GB2312" w:hAnsi="仿宋_GB2312" w:cs="仿宋_GB2312" w:eastAsia="仿宋_GB2312"/>
                      <w:sz w:val="24"/>
                      <w:color w:val="000000"/>
                    </w:rPr>
                    <w:t>及室内强电布线、</w:t>
                  </w:r>
                  <w:r>
                    <w:rPr>
                      <w:rFonts w:ascii="仿宋_GB2312" w:hAnsi="仿宋_GB2312" w:cs="仿宋_GB2312" w:eastAsia="仿宋_GB2312"/>
                      <w:sz w:val="24"/>
                      <w:color w:val="000000"/>
                    </w:rPr>
                    <w:t>灯具安装</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6平方电缆接至配电箱、室内4平方</w:t>
                  </w:r>
                  <w:r>
                    <w:rPr>
                      <w:rFonts w:ascii="仿宋_GB2312" w:hAnsi="仿宋_GB2312" w:cs="仿宋_GB2312" w:eastAsia="仿宋_GB2312"/>
                      <w:sz w:val="24"/>
                      <w:color w:val="000000"/>
                    </w:rPr>
                    <w:t>布置插座线、</w:t>
                  </w:r>
                  <w:r>
                    <w:rPr>
                      <w:rFonts w:ascii="仿宋_GB2312" w:hAnsi="仿宋_GB2312" w:cs="仿宋_GB2312" w:eastAsia="仿宋_GB2312"/>
                      <w:sz w:val="24"/>
                      <w:color w:val="000000"/>
                    </w:rPr>
                    <w:t>2.5</w:t>
                  </w:r>
                  <w:r>
                    <w:rPr>
                      <w:rFonts w:ascii="仿宋_GB2312" w:hAnsi="仿宋_GB2312" w:cs="仿宋_GB2312" w:eastAsia="仿宋_GB2312"/>
                      <w:sz w:val="24"/>
                      <w:color w:val="000000"/>
                    </w:rPr>
                    <w:t>平方接至灯和开</w:t>
                  </w:r>
                  <w:r>
                    <w:rPr>
                      <w:rFonts w:ascii="仿宋_GB2312" w:hAnsi="仿宋_GB2312" w:cs="仿宋_GB2312" w:eastAsia="仿宋_GB2312"/>
                      <w:sz w:val="24"/>
                      <w:color w:val="000000"/>
                    </w:rPr>
                    <w:t>关、空开、等辅材</w:t>
                  </w:r>
                  <w:r>
                    <w:rPr>
                      <w:rFonts w:ascii="仿宋_GB2312" w:hAnsi="仿宋_GB2312" w:cs="仿宋_GB2312" w:eastAsia="仿宋_GB2312"/>
                      <w:sz w:val="24"/>
                      <w:color w:val="000000"/>
                    </w:rPr>
                    <w:t>辅料</w:t>
                  </w: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m²</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29.11</w:t>
                  </w:r>
                </w:p>
              </w:tc>
            </w:tr>
            <w:tr>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6</w:t>
                  </w:r>
                </w:p>
              </w:tc>
              <w:tc>
                <w:tcPr>
                  <w:tcW w:type="dxa" w:w="7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right="315"/>
                    <w:jc w:val="both"/>
                  </w:pPr>
                  <w:r>
                    <w:rPr>
                      <w:rFonts w:ascii="仿宋_GB2312" w:hAnsi="仿宋_GB2312" w:cs="仿宋_GB2312" w:eastAsia="仿宋_GB2312"/>
                      <w:sz w:val="24"/>
                      <w:color w:val="000000"/>
                    </w:rPr>
                    <w:t>太空舱安装硅胶</w:t>
                  </w:r>
                  <w:r>
                    <w:rPr>
                      <w:rFonts w:ascii="仿宋_GB2312" w:hAnsi="仿宋_GB2312" w:cs="仿宋_GB2312" w:eastAsia="仿宋_GB2312"/>
                      <w:sz w:val="24"/>
                      <w:color w:val="000000"/>
                    </w:rPr>
                    <w:t>灯带</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定制硅胶灯带</w:t>
                  </w: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m</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177.35</w:t>
                  </w:r>
                </w:p>
              </w:tc>
            </w:tr>
            <w:tr>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7</w:t>
                  </w:r>
                </w:p>
              </w:tc>
              <w:tc>
                <w:tcPr>
                  <w:tcW w:type="dxa" w:w="7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right="315"/>
                    <w:jc w:val="both"/>
                  </w:pPr>
                  <w:r>
                    <w:rPr>
                      <w:rFonts w:ascii="仿宋_GB2312" w:hAnsi="仿宋_GB2312" w:cs="仿宋_GB2312" w:eastAsia="仿宋_GB2312"/>
                      <w:sz w:val="24"/>
                      <w:color w:val="000000"/>
                    </w:rPr>
                    <w:t>定制成品太空舱</w:t>
                  </w:r>
                  <w:r>
                    <w:rPr>
                      <w:rFonts w:ascii="仿宋_GB2312" w:hAnsi="仿宋_GB2312" w:cs="仿宋_GB2312" w:eastAsia="仿宋_GB2312"/>
                      <w:sz w:val="24"/>
                      <w:color w:val="000000"/>
                    </w:rPr>
                    <w:t>舱门</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right="210"/>
                    <w:jc w:val="center"/>
                  </w:pPr>
                  <w:r>
                    <w:rPr>
                      <w:rFonts w:ascii="仿宋_GB2312" w:hAnsi="仿宋_GB2312" w:cs="仿宋_GB2312" w:eastAsia="仿宋_GB2312"/>
                      <w:sz w:val="24"/>
                      <w:color w:val="000000"/>
                    </w:rPr>
                    <w:t>70系断桥铝门太</w:t>
                  </w:r>
                  <w:r>
                    <w:rPr>
                      <w:rFonts w:ascii="仿宋_GB2312" w:hAnsi="仿宋_GB2312" w:cs="仿宋_GB2312" w:eastAsia="仿宋_GB2312"/>
                      <w:sz w:val="24"/>
                      <w:color w:val="000000"/>
                    </w:rPr>
                    <w:t>空舱舱门</w:t>
                  </w: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m²</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jc w:val="center"/>
                  </w:pPr>
                  <w:r>
                    <w:rPr>
                      <w:rFonts w:ascii="仿宋_GB2312" w:hAnsi="仿宋_GB2312" w:cs="仿宋_GB2312" w:eastAsia="仿宋_GB2312"/>
                      <w:sz w:val="24"/>
                      <w:color w:val="000000"/>
                    </w:rPr>
                    <w:t>15.08</w:t>
                  </w:r>
                </w:p>
              </w:tc>
            </w:tr>
            <w:tr>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8</w:t>
                  </w:r>
                </w:p>
              </w:tc>
              <w:tc>
                <w:tcPr>
                  <w:tcW w:type="dxa" w:w="7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0"/>
                    <w:jc w:val="both"/>
                  </w:pPr>
                  <w:r>
                    <w:rPr>
                      <w:rFonts w:ascii="仿宋_GB2312" w:hAnsi="仿宋_GB2312" w:cs="仿宋_GB2312" w:eastAsia="仿宋_GB2312"/>
                      <w:sz w:val="24"/>
                      <w:color w:val="000000"/>
                    </w:rPr>
                    <w:t>定制太空舱外围</w:t>
                  </w:r>
                  <w:r>
                    <w:rPr>
                      <w:rFonts w:ascii="仿宋_GB2312" w:hAnsi="仿宋_GB2312" w:cs="仿宋_GB2312" w:eastAsia="仿宋_GB2312"/>
                      <w:sz w:val="24"/>
                      <w:color w:val="000000"/>
                    </w:rPr>
                    <w:t>软膜灯箱</w:t>
                  </w:r>
                  <w:r>
                    <w:rPr>
                      <w:rFonts w:ascii="仿宋_GB2312" w:hAnsi="仿宋_GB2312" w:cs="仿宋_GB2312" w:eastAsia="仿宋_GB2312"/>
                      <w:sz w:val="24"/>
                      <w:color w:val="000000"/>
                    </w:rPr>
                    <w:t>(大)</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right="210"/>
                    <w:jc w:val="center"/>
                  </w:pPr>
                  <w:r>
                    <w:rPr>
                      <w:rFonts w:ascii="仿宋_GB2312" w:hAnsi="仿宋_GB2312" w:cs="仿宋_GB2312" w:eastAsia="仿宋_GB2312"/>
                      <w:sz w:val="24"/>
                      <w:color w:val="000000"/>
                    </w:rPr>
                    <w:t>户外定制软膜灯</w:t>
                  </w:r>
                  <w:r>
                    <w:rPr>
                      <w:rFonts w:ascii="仿宋_GB2312" w:hAnsi="仿宋_GB2312" w:cs="仿宋_GB2312" w:eastAsia="仿宋_GB2312"/>
                      <w:sz w:val="24"/>
                      <w:color w:val="000000"/>
                    </w:rPr>
                    <w:t>箱</w:t>
                  </w: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块</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4.00</w:t>
                  </w:r>
                </w:p>
              </w:tc>
            </w:tr>
            <w:tr>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9</w:t>
                  </w:r>
                </w:p>
              </w:tc>
              <w:tc>
                <w:tcPr>
                  <w:tcW w:type="dxa" w:w="7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300"/>
                    <w:jc w:val="both"/>
                  </w:pPr>
                  <w:r>
                    <w:rPr>
                      <w:rFonts w:ascii="仿宋_GB2312" w:hAnsi="仿宋_GB2312" w:cs="仿宋_GB2312" w:eastAsia="仿宋_GB2312"/>
                      <w:sz w:val="24"/>
                      <w:color w:val="000000"/>
                    </w:rPr>
                    <w:t>定制太空舱外围</w:t>
                  </w:r>
                  <w:r>
                    <w:rPr>
                      <w:rFonts w:ascii="仿宋_GB2312" w:hAnsi="仿宋_GB2312" w:cs="仿宋_GB2312" w:eastAsia="仿宋_GB2312"/>
                      <w:sz w:val="24"/>
                      <w:color w:val="000000"/>
                    </w:rPr>
                    <w:t>软膜灯箱</w:t>
                  </w:r>
                  <w:r>
                    <w:rPr>
                      <w:rFonts w:ascii="仿宋_GB2312" w:hAnsi="仿宋_GB2312" w:cs="仿宋_GB2312" w:eastAsia="仿宋_GB2312"/>
                      <w:sz w:val="24"/>
                      <w:color w:val="000000"/>
                    </w:rPr>
                    <w:t>(小)</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210"/>
                    <w:jc w:val="center"/>
                  </w:pPr>
                  <w:r>
                    <w:rPr>
                      <w:rFonts w:ascii="仿宋_GB2312" w:hAnsi="仿宋_GB2312" w:cs="仿宋_GB2312" w:eastAsia="仿宋_GB2312"/>
                      <w:sz w:val="24"/>
                      <w:color w:val="000000"/>
                    </w:rPr>
                    <w:t>户外定制软膜灯</w:t>
                  </w:r>
                  <w:r>
                    <w:rPr>
                      <w:rFonts w:ascii="仿宋_GB2312" w:hAnsi="仿宋_GB2312" w:cs="仿宋_GB2312" w:eastAsia="仿宋_GB2312"/>
                      <w:sz w:val="24"/>
                      <w:color w:val="000000"/>
                    </w:rPr>
                    <w:t>箱</w:t>
                  </w: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块</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4.00</w:t>
                  </w:r>
                </w:p>
              </w:tc>
            </w:tr>
            <w:tr>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jc w:val="center"/>
                  </w:pPr>
                  <w:r>
                    <w:rPr>
                      <w:rFonts w:ascii="仿宋_GB2312" w:hAnsi="仿宋_GB2312" w:cs="仿宋_GB2312" w:eastAsia="仿宋_GB2312"/>
                      <w:sz w:val="24"/>
                      <w:color w:val="000000"/>
                    </w:rPr>
                    <w:t>10</w:t>
                  </w:r>
                </w:p>
              </w:tc>
              <w:tc>
                <w:tcPr>
                  <w:tcW w:type="dxa" w:w="7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0"/>
                    <w:jc w:val="both"/>
                  </w:pPr>
                  <w:r>
                    <w:rPr>
                      <w:rFonts w:ascii="仿宋_GB2312" w:hAnsi="仿宋_GB2312" w:cs="仿宋_GB2312" w:eastAsia="仿宋_GB2312"/>
                      <w:sz w:val="24"/>
                      <w:color w:val="000000"/>
                    </w:rPr>
                    <w:t>定制太空舱钢制</w:t>
                  </w:r>
                  <w:r>
                    <w:rPr>
                      <w:rFonts w:ascii="仿宋_GB2312" w:hAnsi="仿宋_GB2312" w:cs="仿宋_GB2312" w:eastAsia="仿宋_GB2312"/>
                      <w:sz w:val="24"/>
                      <w:color w:val="000000"/>
                    </w:rPr>
                    <w:t>踏步</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right="150"/>
                    <w:jc w:val="center"/>
                  </w:pPr>
                  <w:r>
                    <w:rPr>
                      <w:rFonts w:ascii="仿宋_GB2312" w:hAnsi="仿宋_GB2312" w:cs="仿宋_GB2312" w:eastAsia="仿宋_GB2312"/>
                      <w:sz w:val="24"/>
                      <w:color w:val="000000"/>
                    </w:rPr>
                    <w:t>6</w:t>
                  </w:r>
                  <w:r>
                    <w:rPr>
                      <w:rFonts w:ascii="仿宋_GB2312" w:hAnsi="仿宋_GB2312" w:cs="仿宋_GB2312" w:eastAsia="仿宋_GB2312"/>
                      <w:sz w:val="24"/>
                      <w:color w:val="000000"/>
                    </w:rPr>
                    <w:t>mm</w:t>
                  </w:r>
                  <w:r>
                    <w:rPr>
                      <w:rFonts w:ascii="仿宋_GB2312" w:hAnsi="仿宋_GB2312" w:cs="仿宋_GB2312" w:eastAsia="仿宋_GB2312"/>
                      <w:sz w:val="24"/>
                      <w:color w:val="000000"/>
                    </w:rPr>
                    <w:t>厚压花钢板焊</w:t>
                  </w:r>
                  <w:r>
                    <w:rPr>
                      <w:rFonts w:ascii="仿宋_GB2312" w:hAnsi="仿宋_GB2312" w:cs="仿宋_GB2312" w:eastAsia="仿宋_GB2312"/>
                      <w:sz w:val="24"/>
                      <w:color w:val="000000"/>
                    </w:rPr>
                    <w:t>接、除锈、刷漆</w:t>
                  </w: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jc w:val="center"/>
                  </w:pPr>
                  <w:r>
                    <w:rPr>
                      <w:rFonts w:ascii="仿宋_GB2312" w:hAnsi="仿宋_GB2312" w:cs="仿宋_GB2312" w:eastAsia="仿宋_GB2312"/>
                      <w:sz w:val="24"/>
                      <w:color w:val="000000"/>
                    </w:rPr>
                    <w:t>个</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jc w:val="center"/>
                  </w:pPr>
                  <w:r>
                    <w:rPr>
                      <w:rFonts w:ascii="仿宋_GB2312" w:hAnsi="仿宋_GB2312" w:cs="仿宋_GB2312" w:eastAsia="仿宋_GB2312"/>
                      <w:sz w:val="24"/>
                      <w:color w:val="000000"/>
                    </w:rPr>
                    <w:t>2.00</w:t>
                  </w:r>
                </w:p>
              </w:tc>
            </w:tr>
            <w:tr>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jc w:val="center"/>
                  </w:pPr>
                  <w:r>
                    <w:rPr>
                      <w:rFonts w:ascii="仿宋_GB2312" w:hAnsi="仿宋_GB2312" w:cs="仿宋_GB2312" w:eastAsia="仿宋_GB2312"/>
                      <w:sz w:val="24"/>
                      <w:color w:val="000000"/>
                    </w:rPr>
                    <w:t>11</w:t>
                  </w:r>
                </w:p>
              </w:tc>
              <w:tc>
                <w:tcPr>
                  <w:tcW w:type="dxa" w:w="7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15"/>
                    <w:jc w:val="both"/>
                  </w:pPr>
                  <w:r>
                    <w:rPr>
                      <w:rFonts w:ascii="仿宋_GB2312" w:hAnsi="仿宋_GB2312" w:cs="仿宋_GB2312" w:eastAsia="仿宋_GB2312"/>
                      <w:sz w:val="24"/>
                      <w:color w:val="000000"/>
                    </w:rPr>
                    <w:t>专业人员清理卫</w:t>
                  </w:r>
                  <w:r>
                    <w:rPr>
                      <w:rFonts w:ascii="仿宋_GB2312" w:hAnsi="仿宋_GB2312" w:cs="仿宋_GB2312" w:eastAsia="仿宋_GB2312"/>
                      <w:sz w:val="24"/>
                      <w:color w:val="000000"/>
                    </w:rPr>
                    <w:t>生</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90"/>
                    <w:jc w:val="center"/>
                  </w:pPr>
                  <w:r>
                    <w:rPr>
                      <w:rFonts w:ascii="仿宋_GB2312" w:hAnsi="仿宋_GB2312" w:cs="仿宋_GB2312" w:eastAsia="仿宋_GB2312"/>
                      <w:sz w:val="24"/>
                      <w:color w:val="000000"/>
                    </w:rPr>
                    <w:t>专业保洁、施工期间及完工后保洁</w:t>
                  </w: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工日</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jc w:val="center"/>
                  </w:pPr>
                  <w:r>
                    <w:rPr>
                      <w:rFonts w:ascii="仿宋_GB2312" w:hAnsi="仿宋_GB2312" w:cs="仿宋_GB2312" w:eastAsia="仿宋_GB2312"/>
                      <w:sz w:val="24"/>
                      <w:color w:val="000000"/>
                    </w:rPr>
                    <w:t>5.00</w:t>
                  </w:r>
                </w:p>
              </w:tc>
            </w:tr>
            <w:tr>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jc w:val="center"/>
                  </w:pPr>
                  <w:r>
                    <w:rPr>
                      <w:rFonts w:ascii="仿宋_GB2312" w:hAnsi="仿宋_GB2312" w:cs="仿宋_GB2312" w:eastAsia="仿宋_GB2312"/>
                      <w:sz w:val="24"/>
                      <w:color w:val="000000"/>
                    </w:rPr>
                    <w:t>12</w:t>
                  </w:r>
                </w:p>
              </w:tc>
              <w:tc>
                <w:tcPr>
                  <w:tcW w:type="dxa" w:w="7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75"/>
                    <w:jc w:val="both"/>
                  </w:pPr>
                  <w:r>
                    <w:rPr>
                      <w:rFonts w:ascii="仿宋_GB2312" w:hAnsi="仿宋_GB2312" w:cs="仿宋_GB2312" w:eastAsia="仿宋_GB2312"/>
                      <w:sz w:val="24"/>
                      <w:color w:val="000000"/>
                    </w:rPr>
                    <w:t>垃圾外运</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运至垃圾消纳场</w:t>
                  </w: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color w:val="000000"/>
                    </w:rPr>
                    <w:t>车</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jc w:val="center"/>
                  </w:pPr>
                  <w:r>
                    <w:rPr>
                      <w:rFonts w:ascii="仿宋_GB2312" w:hAnsi="仿宋_GB2312" w:cs="仿宋_GB2312" w:eastAsia="仿宋_GB2312"/>
                      <w:sz w:val="24"/>
                      <w:color w:val="000000"/>
                    </w:rPr>
                    <w:t>1.00</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商务条款要求：</w:t>
            </w:r>
          </w:p>
          <w:p>
            <w:pPr>
              <w:pStyle w:val="null3"/>
            </w:pPr>
            <w:r>
              <w:rPr>
                <w:rFonts w:ascii="仿宋_GB2312" w:hAnsi="仿宋_GB2312" w:cs="仿宋_GB2312" w:eastAsia="仿宋_GB2312"/>
                <w:sz w:val="24"/>
                <w:color w:val="000000"/>
              </w:rPr>
              <w:t>1、工期：自合同签订之日起15天。</w:t>
            </w:r>
          </w:p>
          <w:p>
            <w:pPr>
              <w:pStyle w:val="null3"/>
            </w:pPr>
            <w:r>
              <w:rPr>
                <w:rFonts w:ascii="仿宋_GB2312" w:hAnsi="仿宋_GB2312" w:cs="仿宋_GB2312" w:eastAsia="仿宋_GB2312"/>
                <w:sz w:val="24"/>
                <w:color w:val="000000"/>
              </w:rPr>
              <w:t>2、施工地点：采购人指定地点。</w:t>
            </w:r>
          </w:p>
          <w:p>
            <w:pPr>
              <w:pStyle w:val="null3"/>
            </w:pPr>
            <w:r>
              <w:rPr>
                <w:rFonts w:ascii="仿宋_GB2312" w:hAnsi="仿宋_GB2312" w:cs="仿宋_GB2312" w:eastAsia="仿宋_GB2312"/>
                <w:sz w:val="24"/>
                <w:color w:val="000000"/>
              </w:rPr>
              <w:t>3、质量保修期：验收合格后2年。</w:t>
            </w:r>
          </w:p>
          <w:p>
            <w:pPr>
              <w:pStyle w:val="null3"/>
            </w:pPr>
            <w:r>
              <w:rPr>
                <w:rFonts w:ascii="仿宋_GB2312" w:hAnsi="仿宋_GB2312" w:cs="仿宋_GB2312" w:eastAsia="仿宋_GB2312"/>
                <w:sz w:val="24"/>
                <w:color w:val="000000"/>
              </w:rPr>
              <w:t>4、付款方式：待工程竣工现场验收合格后 ，达到付款条件起 30 日内，支付合同总金额的 100.00%。</w:t>
            </w:r>
          </w:p>
          <w:p>
            <w:pPr>
              <w:pStyle w:val="null3"/>
            </w:pPr>
            <w:r>
              <w:rPr>
                <w:rFonts w:ascii="仿宋_GB2312" w:hAnsi="仿宋_GB2312" w:cs="仿宋_GB2312" w:eastAsia="仿宋_GB2312"/>
                <w:sz w:val="24"/>
                <w:color w:val="000000"/>
              </w:rPr>
              <w:t>注：商务条款要求为实质性响应内容，不允许出现任何负偏离。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按照采购文件、响应文件及合同条款执行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2.中标/成交供应商在中标结果发布后3个工作日内，需提交与电子化平台提交内容一致的签字盖章后的纸质版响应文件，正本壹份、副本壹份，纸质响应文件标明供应商名称。若线上电响应标文件与纸质响应文件不一致的，以线上电子响应文件为准；若正本和副本不符，以正本为准；3.中标/成交供应商在中标结果发布后3个工作日内，向采购人提供最终报价的分项报价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供应商提供开标前一年内任意一个月已缴纳的税收缴纳凭证或完税证明；依法免税单位的应提供相关文件证明。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供应商提供开标前一年内任意一个月已缴纳的社会保障资金缴存单据或社保机构开具的社会保险参保缴费情况证明；依法不需要缴纳社会保障资金的应提供相关文件证明。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法定代表人参加磋商的，须提供法人身份证明和本人身份证复印件；法定代表人授权他人参加磋商的，须提供法定代表人授权委托书和被授权人身份证复印件。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具备建设部门颁发的有效的建筑工程施工总承包三级及以上（含三级）资质或建筑装修装饰工程专业承包二级及以上（含二级）资质，且具有有效的安全生产许可证。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拟派项目负责人资格</w:t>
            </w:r>
          </w:p>
        </w:tc>
        <w:tc>
          <w:tcPr>
            <w:tcW w:type="dxa" w:w="3322"/>
          </w:tcPr>
          <w:p>
            <w:pPr>
              <w:pStyle w:val="null3"/>
            </w:pPr>
            <w:r>
              <w:rPr>
                <w:rFonts w:ascii="仿宋_GB2312" w:hAnsi="仿宋_GB2312" w:cs="仿宋_GB2312" w:eastAsia="仿宋_GB2312"/>
              </w:rPr>
              <w:t>拟派项目负责人具备有效的建筑工程专业二级及以上（含二级）注册建造师资格，具备有效的安全生产考核合格证，在本单位注册且无在建工程（承诺书）。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本项目不接受联合体响应，不允许分包。供应商提供《非联合体不分包声明》，视为独立响应，不分包。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 （1）磋商报价符合唯一性要求；（2）未超出采购预算或竞争性磋商文件规定的最高限价。</w:t>
            </w:r>
          </w:p>
        </w:tc>
        <w:tc>
          <w:tcPr>
            <w:tcW w:type="dxa" w:w="1661"/>
          </w:tcPr>
          <w:p>
            <w:pPr>
              <w:pStyle w:val="null3"/>
            </w:pPr>
            <w:r>
              <w:rPr>
                <w:rFonts w:ascii="仿宋_GB2312" w:hAnsi="仿宋_GB2312" w:cs="仿宋_GB2312" w:eastAsia="仿宋_GB2312"/>
              </w:rPr>
              <w:t>分项报价表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工期满足竞争性磋商文件要求。</w:t>
            </w:r>
          </w:p>
        </w:tc>
        <w:tc>
          <w:tcPr>
            <w:tcW w:type="dxa" w:w="1661"/>
          </w:tcPr>
          <w:p>
            <w:pPr>
              <w:pStyle w:val="null3"/>
            </w:pPr>
            <w:r>
              <w:rPr>
                <w:rFonts w:ascii="仿宋_GB2312" w:hAnsi="仿宋_GB2312" w:cs="仿宋_GB2312" w:eastAsia="仿宋_GB2312"/>
              </w:rPr>
              <w:t>分项报价表 报价函 标的清单 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质量保修期满足竞争性磋商文件要求。</w:t>
            </w:r>
          </w:p>
        </w:tc>
        <w:tc>
          <w:tcPr>
            <w:tcW w:type="dxa" w:w="1661"/>
          </w:tcPr>
          <w:p>
            <w:pPr>
              <w:pStyle w:val="null3"/>
            </w:pPr>
            <w:r>
              <w:rPr>
                <w:rFonts w:ascii="仿宋_GB2312" w:hAnsi="仿宋_GB2312" w:cs="仿宋_GB2312" w:eastAsia="仿宋_GB2312"/>
              </w:rPr>
              <w:t>分项报价表 报价函 标的清单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 分项报价表 中小企业声明函 残疾人福利性单位声明函 报价函 标的清单 技术服务合同条款及其他商务要求应答表 供应商应提交的相关资格证明材料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响应文件有效期符合竞争性磋商文件要求。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实质性响应了竞争性磋商文件中标注的要求；响应文件中没有含采购人不能接受的附加条件或其他无效情形。</w:t>
            </w:r>
          </w:p>
        </w:tc>
        <w:tc>
          <w:tcPr>
            <w:tcW w:type="dxa" w:w="1661"/>
          </w:tcPr>
          <w:p>
            <w:pPr>
              <w:pStyle w:val="null3"/>
            </w:pPr>
            <w:r>
              <w:rPr>
                <w:rFonts w:ascii="仿宋_GB2312" w:hAnsi="仿宋_GB2312" w:cs="仿宋_GB2312" w:eastAsia="仿宋_GB2312"/>
              </w:rPr>
              <w:t>分项报价表 中小企业声明函 人员配置 技术服务合同条款及其他商务要求应答表 供应商应提交的相关资格证明材料 应急处理方案 响应文件封面 质量安全保证 售后服务 残疾人福利性单位声明函 报价函 进度保障措施 标的清单 供应商类似项目业绩一览表 施工方案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针对本项目的施工方案及工程概况、施工平面布置、施工要求和技术保证条件，重点难点分析及处理措施。 1.内容完备、科学合理、针对性可行性强，得15分； 2.内容相对完备、科学较为合理、有一定针对性可行性，得10分； 3.内容简单粗略、针对性可行性较低，得5分；未提供不得分。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针对本项目的施工进度及工期保障，提供全面的进度安排、分析关键节点、确保进度、保证工期的技术组织措施。 1.内容完备、科学合理、针对性可行性强，得10分； 2.内容相对完备、科学较为合理、有一定针对性可行性，得6分； 3.内容简单粗略、针对性可行性较低，得2分；未提供不得分。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进度保障措施</w:t>
            </w:r>
          </w:p>
        </w:tc>
      </w:tr>
      <w:tr>
        <w:tc>
          <w:tcPr>
            <w:tcW w:type="dxa" w:w="831"/>
            <w:vMerge/>
          </w:tcPr>
          <w:p/>
        </w:tc>
        <w:tc>
          <w:tcPr>
            <w:tcW w:type="dxa" w:w="1661"/>
          </w:tcPr>
          <w:p>
            <w:pPr>
              <w:pStyle w:val="null3"/>
            </w:pPr>
            <w:r>
              <w:rPr>
                <w:rFonts w:ascii="仿宋_GB2312" w:hAnsi="仿宋_GB2312" w:cs="仿宋_GB2312" w:eastAsia="仿宋_GB2312"/>
              </w:rPr>
              <w:t>质量安全保证</w:t>
            </w:r>
          </w:p>
        </w:tc>
        <w:tc>
          <w:tcPr>
            <w:tcW w:type="dxa" w:w="2492"/>
          </w:tcPr>
          <w:p>
            <w:pPr>
              <w:pStyle w:val="null3"/>
            </w:pPr>
            <w:r>
              <w:rPr>
                <w:rFonts w:ascii="仿宋_GB2312" w:hAnsi="仿宋_GB2312" w:cs="仿宋_GB2312" w:eastAsia="仿宋_GB2312"/>
              </w:rPr>
              <w:t>针对本项目的施工质量保证措施以及确保安全、文明施工的技术组织措施。（1）制定切实可行的总体质量控制目标及施工的重点难点目标，且对质量控制目标进行合理分解、规划，给出有针对性的施工方案及其编制依据，确保本项目质量标准符合该项目要求，内容完备、科学合理、针对性可行性强，得5分； 内容简单粗略、针对性可行性较低，得2分；未提供不得分；（2）结合工程环境、特点分析安全隐患，给出有针对性的安全施工管理制度、文明施工、环保施工、防尘降噪等保证防护措施，内容完备、科学合理、针对性可行性强，得5分；内容简单粗略、针对性可行性较低，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质量安全保证</w:t>
            </w:r>
          </w:p>
        </w:tc>
      </w:tr>
      <w:tr>
        <w:tc>
          <w:tcPr>
            <w:tcW w:type="dxa" w:w="831"/>
            <w:vMerge/>
          </w:tcPr>
          <w:p/>
        </w:tc>
        <w:tc>
          <w:tcPr>
            <w:tcW w:type="dxa" w:w="1661"/>
          </w:tcPr>
          <w:p>
            <w:pPr>
              <w:pStyle w:val="null3"/>
            </w:pPr>
            <w:r>
              <w:rPr>
                <w:rFonts w:ascii="仿宋_GB2312" w:hAnsi="仿宋_GB2312" w:cs="仿宋_GB2312" w:eastAsia="仿宋_GB2312"/>
              </w:rPr>
              <w:t>主要设备及材料选用情况</w:t>
            </w:r>
          </w:p>
        </w:tc>
        <w:tc>
          <w:tcPr>
            <w:tcW w:type="dxa" w:w="2492"/>
          </w:tcPr>
          <w:p>
            <w:pPr>
              <w:pStyle w:val="null3"/>
            </w:pPr>
            <w:r>
              <w:rPr>
                <w:rFonts w:ascii="仿宋_GB2312" w:hAnsi="仿宋_GB2312" w:cs="仿宋_GB2312" w:eastAsia="仿宋_GB2312"/>
              </w:rPr>
              <w:t>1.根据供应商针对本项目提供拟投入主要材料清单是否完全符合磋商文件要求进行评审：拟投的主要材料清单合理完整，实用性强，完全符合磋商文件要求，得5分； 拟投的主要材料清单不合理，不完整，不符合磋商文件要求，得2分；未提供不得分； 2.根据供应商针对本项目拟投入主要材料的产品选型情况、材料品质进行评审：主要材料的市场应用比例高与本次项目契合度高、为主流产品且符合相关环保要求，相关证明材料完整、清晰，得5分；主要材料的市场占有率一般，相关证明材料不完整，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主要设备及材料选用情况</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针对突发事件的应急处理方案，提供相应的预案或保证措施。1.内容完备、科学合理、针对性可行性强，得7分； 2.内容相对完备、科学较为合理、有一定针对性可行性，得5分； 3.内容简单粗略、针对性可行性较低，得3分；未提供不得分。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针对本项目提供相关工程质量售后服务承诺进行评审，其中：（1）质量保证期内的保障工作服务方案及工作计划，内容完善、科学合理，针对性强、服务承诺明确，得4分；内容一般、基本可行、特点和承诺不明确，得2分；未提供不得分。（2）对工程维修服务响应时限有明确的承诺，内容完善、科学合理，针对性可行性强、服务承诺明确，得4分；内容一般、基本可行、特点和承诺不明确，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项目经理部人员组成的情况，岗位、专业、分工、专职安全生产管理人员、作业人员等。 1.人员配置合理、岗位明确，符合项目实施的整体安排，得5分； 2.人员配置相对合理、岗位较为明确，基本符合项目实施的整体安排，得3分； 3.人员配置不足、岗位模糊，不符合项目实施的整体安排，得1分；未提供不得分。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人员配置</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根据提供的2022年1月1日至今类似项目合同（以合同签订日期为准，仅限供应商本身，提供合同关键页，原件备查）进行评审，每份计1分，最高计5分。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评标基准价：即满足竞争性磋商文件要求且最终响应报价最低的报价为评标基准价。其他供应商的价格分统一按照下列公式计算。响应报价计分=(评标基准价／响应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详见附件：施工方案</w:t>
      </w:r>
    </w:p>
    <w:p>
      <w:pPr>
        <w:pStyle w:val="null3"/>
        <w:ind w:firstLine="960"/>
      </w:pPr>
      <w:r>
        <w:rPr>
          <w:rFonts w:ascii="仿宋_GB2312" w:hAnsi="仿宋_GB2312" w:cs="仿宋_GB2312" w:eastAsia="仿宋_GB2312"/>
        </w:rPr>
        <w:t>详见附件：进度保障措施</w:t>
      </w:r>
    </w:p>
    <w:p>
      <w:pPr>
        <w:pStyle w:val="null3"/>
        <w:ind w:firstLine="960"/>
      </w:pPr>
      <w:r>
        <w:rPr>
          <w:rFonts w:ascii="仿宋_GB2312" w:hAnsi="仿宋_GB2312" w:cs="仿宋_GB2312" w:eastAsia="仿宋_GB2312"/>
        </w:rPr>
        <w:t>详见附件：质量安全保证</w:t>
      </w:r>
    </w:p>
    <w:p>
      <w:pPr>
        <w:pStyle w:val="null3"/>
        <w:ind w:firstLine="960"/>
      </w:pPr>
      <w:r>
        <w:rPr>
          <w:rFonts w:ascii="仿宋_GB2312" w:hAnsi="仿宋_GB2312" w:cs="仿宋_GB2312" w:eastAsia="仿宋_GB2312"/>
        </w:rPr>
        <w:t>详见附件：主要设备及材料选用情况</w:t>
      </w:r>
    </w:p>
    <w:p>
      <w:pPr>
        <w:pStyle w:val="null3"/>
        <w:ind w:firstLine="960"/>
      </w:pPr>
      <w:r>
        <w:rPr>
          <w:rFonts w:ascii="仿宋_GB2312" w:hAnsi="仿宋_GB2312" w:cs="仿宋_GB2312" w:eastAsia="仿宋_GB2312"/>
        </w:rPr>
        <w:t>详见附件：应急处理方案</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详见附件：人员配置</w:t>
      </w:r>
    </w:p>
    <w:p>
      <w:pPr>
        <w:pStyle w:val="null3"/>
        <w:ind w:firstLine="960"/>
      </w:pPr>
      <w:r>
        <w:rPr>
          <w:rFonts w:ascii="仿宋_GB2312" w:hAnsi="仿宋_GB2312" w:cs="仿宋_GB2312" w:eastAsia="仿宋_GB2312"/>
        </w:rPr>
        <w:t>详见附件：供应商类似项目业绩一览表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详见附件：劳动场地改造与建设项目合同.docx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