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版本号：ZK-CS-2025-03720250903002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西安航天城第一小学教学楼漏水及卫生间维修工程项目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ZK-CS-2025-037</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陕西梓鲲企业管理有限公司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陕西梓鲲企业管理有限公司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西安航天城第一小学教学楼漏水及卫生间维修工程项目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ZK-CS-2025-037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西安航天城第一小学教学楼漏水及卫生间维修工程项目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西安国家民用航天产业基地管理委员会西安航天城第一小学教学楼漏水及卫生间维修工程项目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采购包1（西安航天城第一小学教学楼漏水及卫生间维修工程项目）：属于专门面向中小企业采购。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良好的商业信誉和健全的财务会计制度：提供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有依法缴纳税收和社会保障资金的良好记录：提供2025年1月1日至今任意时段的缴纳证明，依法免税或不需要缴纳社会保障资金的投标人须提供相应证明文件，供应商需在项目电子化交易系统中按要求上传相应证明文件并进行电子签章。</w:t>
      </w:r>
    </w:p>
    <w:p>
      <w:pPr>
        <w:pStyle w:val="null3"/>
      </w:pPr>
      <w:r>
        <w:rPr>
          <w:rFonts w:ascii="仿宋_GB2312" w:hAnsi="仿宋_GB2312" w:cs="仿宋_GB2312" w:eastAsia="仿宋_GB2312"/>
        </w:rPr>
        <w:t>5、信用资格要求：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p>
      <w:pPr>
        <w:pStyle w:val="null3"/>
      </w:pPr>
      <w:r>
        <w:rPr>
          <w:rFonts w:ascii="仿宋_GB2312" w:hAnsi="仿宋_GB2312" w:cs="仿宋_GB2312" w:eastAsia="仿宋_GB2312"/>
        </w:rPr>
        <w:t>6、书面声明：①参加本次政府采购活动前三年内在经营活动中无重大违法记录声明；②提供具有履行本合同所必需的设备和专业技术能力的声明。</w:t>
      </w:r>
    </w:p>
    <w:p>
      <w:pPr>
        <w:pStyle w:val="null3"/>
      </w:pPr>
      <w:r>
        <w:rPr>
          <w:rFonts w:ascii="仿宋_GB2312" w:hAnsi="仿宋_GB2312" w:cs="仿宋_GB2312" w:eastAsia="仿宋_GB2312"/>
        </w:rPr>
        <w:t>7、供应商资质要求：供应商须具备合格有效的建筑工程施工总承包三级及以上资质或防水防腐保温工程专业承包二级及以上资质，具有合格有效的安全生产许可证；供应商在“陕西省住房和城乡建设厅网站(http://js.shaanxi.gov.cn/)”可查询（提供查询截图）。</w:t>
      </w:r>
    </w:p>
    <w:p>
      <w:pPr>
        <w:pStyle w:val="null3"/>
      </w:pPr>
      <w:r>
        <w:rPr>
          <w:rFonts w:ascii="仿宋_GB2312" w:hAnsi="仿宋_GB2312" w:cs="仿宋_GB2312" w:eastAsia="仿宋_GB2312"/>
        </w:rPr>
        <w:t>8、拟派项目负责人资质和专业要求：拟派本工程项目经理具有建筑工程专业二级及以上注册建造师资格，具有合格有效的安全生产考核合格证（B证）,本单位注册且无在建工程（提供承诺书）；项目经理(建造师)在“陕西省住房和城乡建设厅网站(http://js.shaanxi.gov.cn/)”可查询（提供查询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陕西梓鲲企业管理有限公司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陕西省西安市市辖区西安市高新区锦业一路与丈八二路十字东南角永威时代中心30楼3001室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陶莹、郭梦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02981142611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采购包1：806,070.00元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代理服务费不足5000元的，按5000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陕西梓鲲企业管理有限公司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陕西梓鲲企业管理有限公司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陕西梓鲲企业管理有限公司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依据磋商文件及签订合同为准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陕西梓鲲企业管理有限公司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联系人：陶莹、郭梦</w:t>
      </w:r>
    </w:p>
    <w:p>
      <w:pPr>
        <w:pStyle w:val="null3"/>
      </w:pPr>
      <w:r>
        <w:rPr>
          <w:rFonts w:ascii="仿宋_GB2312" w:hAnsi="仿宋_GB2312" w:cs="仿宋_GB2312" w:eastAsia="仿宋_GB2312"/>
        </w:rPr>
        <w:t>联系电话：029-81142611</w:t>
      </w:r>
    </w:p>
    <w:p>
      <w:pPr>
        <w:pStyle w:val="null3"/>
      </w:pPr>
      <w:r>
        <w:rPr>
          <w:rFonts w:ascii="仿宋_GB2312" w:hAnsi="仿宋_GB2312" w:cs="仿宋_GB2312" w:eastAsia="仿宋_GB2312"/>
        </w:rPr>
        <w:t>地址：陕西省西安市市辖区西安市高新区锦业一路与丈八二路十字东南角永威时代中心30楼3001室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806,070.00</w:t>
      </w:r>
    </w:p>
    <w:p>
      <w:pPr>
        <w:pStyle w:val="null3"/>
      </w:pPr>
      <w:r>
        <w:rPr>
          <w:rFonts w:ascii="仿宋_GB2312" w:hAnsi="仿宋_GB2312" w:cs="仿宋_GB2312" w:eastAsia="仿宋_GB2312"/>
        </w:rPr>
        <w:t>采购包最高限价（元）: 806,070.00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806,070.00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1、建设单位：西安航天城第一小学</w:t>
            </w:r>
          </w:p>
          <w:p>
            <w:pPr>
              <w:pStyle w:val="null3"/>
              <w:jc w:val="both"/>
            </w:pPr>
            <w:r>
              <w:rPr>
                <w:rFonts w:ascii="仿宋_GB2312" w:hAnsi="仿宋_GB2312" w:cs="仿宋_GB2312" w:eastAsia="仿宋_GB2312"/>
              </w:rPr>
              <w:t>2、项目名称：</w:t>
            </w:r>
            <w:r>
              <w:rPr>
                <w:rFonts w:ascii="仿宋_GB2312" w:hAnsi="仿宋_GB2312" w:cs="仿宋_GB2312" w:eastAsia="仿宋_GB2312"/>
              </w:rPr>
              <w:t>西安航天城第一小学教学楼漏水及卫生间维修工程项目</w:t>
            </w:r>
          </w:p>
          <w:p>
            <w:pPr>
              <w:pStyle w:val="null3"/>
              <w:jc w:val="both"/>
            </w:pPr>
            <w:r>
              <w:rPr>
                <w:rFonts w:ascii="仿宋_GB2312" w:hAnsi="仿宋_GB2312" w:cs="仿宋_GB2312" w:eastAsia="仿宋_GB2312"/>
              </w:rPr>
              <w:t>3、工程概况：航天城第一小学卫生间吊顶、隔断、蹲台、管道等的拆除及重新施工；屋面及外墙面拆除及重新施工等，具体内容详见工程量清单。</w:t>
            </w:r>
          </w:p>
          <w:p>
            <w:pPr>
              <w:pStyle w:val="null3"/>
              <w:jc w:val="both"/>
            </w:pPr>
            <w:r>
              <w:rPr>
                <w:rFonts w:ascii="仿宋_GB2312" w:hAnsi="仿宋_GB2312" w:cs="仿宋_GB2312" w:eastAsia="仿宋_GB2312"/>
              </w:rPr>
              <w:t>二．编制依据</w:t>
            </w:r>
          </w:p>
          <w:p>
            <w:pPr>
              <w:pStyle w:val="null3"/>
              <w:jc w:val="both"/>
            </w:pPr>
            <w:r>
              <w:rPr>
                <w:rFonts w:ascii="仿宋_GB2312" w:hAnsi="仿宋_GB2312" w:cs="仿宋_GB2312" w:eastAsia="仿宋_GB2312"/>
              </w:rPr>
              <w:t>1、本工程施工图纸；</w:t>
            </w:r>
          </w:p>
          <w:p>
            <w:pPr>
              <w:pStyle w:val="null3"/>
              <w:jc w:val="both"/>
            </w:pPr>
            <w:r>
              <w:rPr>
                <w:rFonts w:ascii="仿宋_GB2312" w:hAnsi="仿宋_GB2312" w:cs="仿宋_GB2312" w:eastAsia="仿宋_GB2312"/>
              </w:rPr>
              <w:t>2、计价模式：</w:t>
            </w:r>
            <w:r>
              <w:rPr>
                <w:rFonts w:ascii="仿宋_GB2312" w:hAnsi="仿宋_GB2312" w:cs="仿宋_GB2312" w:eastAsia="仿宋_GB2312"/>
              </w:rPr>
              <w:t>采用工程量清单计价；</w:t>
            </w:r>
          </w:p>
          <w:p>
            <w:pPr>
              <w:pStyle w:val="null3"/>
              <w:jc w:val="both"/>
            </w:pPr>
            <w:r>
              <w:rPr>
                <w:rFonts w:ascii="仿宋_GB2312" w:hAnsi="仿宋_GB2312" w:cs="仿宋_GB2312" w:eastAsia="仿宋_GB2312"/>
              </w:rPr>
              <w:t>3、计价依据：执行《陕西省建设工程量清单计价规则》（2009）和《陕西省建筑、装饰工程消耗量定额》（2004）、《陕西省安装工程消耗量定额》（2004）、《陕西省室内装饰工程定额》（2002）、《全统修缮定额土建工程陕西省价目表》（2001）、《陕西省建筑、装饰工程价目表》（2009）、《陕西省安装工程价目表》（2009）、《陕西省建设工程施工机械台班价目表》（2009）、《陕西省建</w:t>
            </w:r>
            <w:r>
              <w:rPr>
                <w:rFonts w:ascii="仿宋_GB2312" w:hAnsi="仿宋_GB2312" w:cs="仿宋_GB2312" w:eastAsia="仿宋_GB2312"/>
              </w:rPr>
              <w:t>设工程量清单计价费率》（</w:t>
            </w:r>
            <w:r>
              <w:rPr>
                <w:rFonts w:ascii="仿宋_GB2312" w:hAnsi="仿宋_GB2312" w:cs="仿宋_GB2312" w:eastAsia="仿宋_GB2312"/>
              </w:rPr>
              <w:t>2009）及其他相关补充定额和配套文件；</w:t>
            </w:r>
          </w:p>
          <w:p>
            <w:pPr>
              <w:pStyle w:val="null3"/>
              <w:jc w:val="both"/>
            </w:pPr>
            <w:r>
              <w:rPr>
                <w:rFonts w:ascii="仿宋_GB2312" w:hAnsi="仿宋_GB2312" w:cs="仿宋_GB2312" w:eastAsia="仿宋_GB2312"/>
              </w:rPr>
              <w:t>4、施工规范及验收规范；</w:t>
            </w:r>
          </w:p>
          <w:p>
            <w:pPr>
              <w:pStyle w:val="null3"/>
              <w:jc w:val="both"/>
            </w:pPr>
            <w:r>
              <w:rPr>
                <w:rFonts w:ascii="仿宋_GB2312" w:hAnsi="仿宋_GB2312" w:cs="仿宋_GB2312" w:eastAsia="仿宋_GB2312"/>
              </w:rPr>
              <w:t>5、施工设计图中选用的相关标准图集。</w:t>
            </w:r>
          </w:p>
          <w:p>
            <w:pPr>
              <w:pStyle w:val="null3"/>
              <w:jc w:val="both"/>
            </w:pPr>
            <w:r>
              <w:rPr>
                <w:rFonts w:ascii="仿宋_GB2312" w:hAnsi="仿宋_GB2312" w:cs="仿宋_GB2312" w:eastAsia="仿宋_GB2312"/>
              </w:rPr>
              <w:t>三．计价说明</w:t>
            </w:r>
          </w:p>
          <w:p>
            <w:pPr>
              <w:pStyle w:val="null3"/>
              <w:jc w:val="both"/>
            </w:pPr>
            <w:r>
              <w:rPr>
                <w:rFonts w:ascii="仿宋_GB2312" w:hAnsi="仿宋_GB2312" w:cs="仿宋_GB2312" w:eastAsia="仿宋_GB2312"/>
              </w:rPr>
              <w:t>1、人工费：执行陕建发【2021】1097号《陕西省住房和城乡建设厅文件关于调整房屋建筑和市政基础设施工程工程量清单计价综合人工单价的通知》调整；</w:t>
            </w:r>
          </w:p>
          <w:p>
            <w:pPr>
              <w:pStyle w:val="null3"/>
              <w:jc w:val="both"/>
            </w:pPr>
            <w:r>
              <w:rPr>
                <w:rFonts w:ascii="仿宋_GB2312" w:hAnsi="仿宋_GB2312" w:cs="仿宋_GB2312" w:eastAsia="仿宋_GB2312"/>
              </w:rPr>
              <w:t>2、税金：执行陕建发【2019】45号文件《关于调整建设工程计价依据增值税税率的通知》调整；</w:t>
            </w:r>
          </w:p>
          <w:p>
            <w:pPr>
              <w:pStyle w:val="null3"/>
              <w:jc w:val="both"/>
            </w:pPr>
            <w:r>
              <w:rPr>
                <w:rFonts w:ascii="仿宋_GB2312" w:hAnsi="仿宋_GB2312" w:cs="仿宋_GB2312" w:eastAsia="仿宋_GB2312"/>
              </w:rPr>
              <w:t>3、安全文明施工措施费执行《关于发布我省落实建筑工人实名制管理计价依据的通知》(陕建发〔2019〕1246号)；</w:t>
            </w:r>
          </w:p>
          <w:p>
            <w:pPr>
              <w:pStyle w:val="null3"/>
              <w:jc w:val="both"/>
            </w:pPr>
            <w:r>
              <w:rPr>
                <w:rFonts w:ascii="仿宋_GB2312" w:hAnsi="仿宋_GB2312" w:cs="仿宋_GB2312" w:eastAsia="仿宋_GB2312"/>
              </w:rPr>
              <w:t>4、建筑施工安全生产责任保险执行陕建发〔2020〕1097号《陕西省住房和城乡建设厅关于建筑施工安全生产责任保险费用计价的通知》；</w:t>
            </w:r>
          </w:p>
          <w:p>
            <w:pPr>
              <w:pStyle w:val="null3"/>
              <w:jc w:val="both"/>
            </w:pPr>
            <w:r>
              <w:rPr>
                <w:rFonts w:ascii="仿宋_GB2312" w:hAnsi="仿宋_GB2312" w:cs="仿宋_GB2312" w:eastAsia="仿宋_GB2312"/>
              </w:rPr>
              <w:t>5、劳保统筹执行陕建发〔2021〕1021号《关于全省统一停止收缴建筑业劳保费用的通知》；</w:t>
            </w:r>
          </w:p>
          <w:p>
            <w:pPr>
              <w:pStyle w:val="null3"/>
              <w:jc w:val="both"/>
            </w:pPr>
            <w:r>
              <w:rPr>
                <w:rFonts w:ascii="仿宋_GB2312" w:hAnsi="仿宋_GB2312" w:cs="仿宋_GB2312" w:eastAsia="仿宋_GB2312"/>
              </w:rPr>
              <w:t>6、材料价格主要参照陕西省2025年6月信息价及市场询价计入。</w:t>
            </w:r>
          </w:p>
          <w:p>
            <w:pPr>
              <w:pStyle w:val="null3"/>
              <w:jc w:val="both"/>
            </w:pPr>
            <w:r>
              <w:rPr>
                <w:rFonts w:ascii="仿宋_GB2312" w:hAnsi="仿宋_GB2312" w:cs="仿宋_GB2312" w:eastAsia="仿宋_GB2312"/>
                <w:color w:val="000000"/>
              </w:rPr>
              <w:t>四</w:t>
            </w:r>
            <w:r>
              <w:rPr>
                <w:rFonts w:ascii="仿宋_GB2312" w:hAnsi="仿宋_GB2312" w:cs="仿宋_GB2312" w:eastAsia="仿宋_GB2312"/>
                <w:color w:val="000000"/>
              </w:rPr>
              <w:t>.工期要求：自合同签订之日起30个日历日。</w:t>
            </w:r>
          </w:p>
          <w:p>
            <w:pPr>
              <w:pStyle w:val="null3"/>
              <w:jc w:val="both"/>
            </w:pPr>
            <w:r>
              <w:rPr>
                <w:rFonts w:ascii="仿宋_GB2312" w:hAnsi="仿宋_GB2312" w:cs="仿宋_GB2312" w:eastAsia="仿宋_GB2312"/>
                <w:color w:val="000000"/>
              </w:rPr>
              <w:t>五</w:t>
            </w:r>
            <w:r>
              <w:rPr>
                <w:rFonts w:ascii="仿宋_GB2312" w:hAnsi="仿宋_GB2312" w:cs="仿宋_GB2312" w:eastAsia="仿宋_GB2312"/>
                <w:color w:val="000000"/>
              </w:rPr>
              <w:t>.质量要求：合格。</w:t>
            </w:r>
          </w:p>
          <w:p>
            <w:pPr>
              <w:pStyle w:val="null3"/>
              <w:jc w:val="both"/>
            </w:pPr>
            <w:r>
              <w:rPr>
                <w:rFonts w:ascii="仿宋_GB2312" w:hAnsi="仿宋_GB2312" w:cs="仿宋_GB2312" w:eastAsia="仿宋_GB2312"/>
                <w:color w:val="000000"/>
              </w:rPr>
              <w:t>六.工程量清单另附。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2.本项目通过电子化交易系统磋商，供应商需在电子化交易系统上传响应的文件。成交供应商领取成交通知书时，向采购代理机构提供一正两副纸质响应文件及电子版1份（签字盖章扫描PDF和word文档格式，U盘存储）。3.供应商应自响应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供应商应为符合政策要求的中小微企业或监狱企业或残疾人福利性单位。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具备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提供2023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提供2025年1月1日至今任意时段的缴纳证明，依法免税或不需要缴纳社会保障资金的投标人须提供相应证明文件，供应商需在项目电子化交易系统中按要求上传相应证明文件并进行电子签章。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失信被执行人”或“重大税收违法案件当事人”名单；未被列入“中国政府采购网(www.ccgp.gov.cn)”“政府采购严重违法失信行为记录名单”需提供网站截图。最终以现场查询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①参加本次政府采购活动前三年内在经营活动中无重大违法记录声明；②提供具有履行本合同所必需的设备和专业技术能力的声明。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合格有效的建筑工程施工总承包三级及以上资质或防水防腐保温工程专业承包二级及以上资质，具有合格有效的安全生产许可证；供应商在“陕西省住房和城乡建设厅网站(http://js.shaanxi.gov.cn/)”可查询（提供查询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本工程项目经理具有建筑工程专业二级及以上注册建造师资格，具有合格有效的安全生产考核合格证（B证）,本单位注册且无在建工程（提供承诺书）；项目经理(建造师)在“陕西省住房和城乡建设厅网站(http://js.shaanxi.gov.cn/)”可查询（提供查询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完全理解并接受《承诺书》、《声明函》的内容。</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针对本项目提供具体可行的施工方案，包括但不限于：①提供详细的施工方案；②拟投入的施工设施、设备及配置情况；③施工进度计划安排：④施工工作质量、安全、进度控制保障措施：⑤数据及资料管理方案；⑥组织协调内容及措施；⑦工作重点与难点分析及对应措施。二、评审标准1、完善性：方案必须全面，对评审内容中的各项要求有详细阐述；2、可实施性：切合本项目实际情况，提出步骤清晰、合理的方案；3、针对性：方案能够紧扣项目实际情况，内容科学合理。上述7项评审内容全部满足评审标准得35分，每有一个评审内容缺项扣5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针对本项目提供具体可行的人员配置方案，包括但不限于①团队机构设置、组成人员名单（包括但不限于项目经理、技术负责人、施工员、安全员、质量员、资料员），人员岗位职责；②项目经理及团队人员中具有与本项目相关的专业人员证书（包括但不限于学历证、职称证、岗位证书等），提供复印件。 二、评审标准1、完整性：方案必须全面，对评审内容中的各项要求有详细阐述；2、可实施性：切合本项目实际情况，提出步骤清晰、合理的方案；3、针对性：方案能够紧扣项目实际情况，内容科学合理。上述2项评审内容全部满足评审标准得10分，每有一个评审内容缺项扣5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注:项目经理及团队人员提供有效的相关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提供具体可行的应急预案，包括但不限于：①详细应急保障及应急处理团队；②针对突发事件及紧急情况（包括防火、防盗、防骗、防事故，发生冰雹、暴雪、暴雨等灾害性天气，地震、火灾及停水、停电等其他突发事件）的应急预案；③应急处理程序及设施设备。二、评审标准1、完整性：方案必须全面，对评审内容中的各项要求有详细阐述；2、可实施性：切合本项目实际情况，提出步骤清晰、合理的方案；3、针对性：方案能够紧扣项目实际情况，内容科学合理。上述3项评审内容全部满足评审标准得6分，每有一个评审内容缺项扣2分，若上述内容存在瑕疵，每出现一处瑕疵扣1分，扣完为止。注：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本项目提供具体可行的服务承诺及合理化建议，包括但不限于①服务质量承诺；②服务响应时限、人员到位、安全保障、不能完全履行承诺时愿意接受相关处罚等以及其他服务的承诺；③有利于本项目实施的合理化建议。 二、评审标准1、完整性：方案必须全面，对评审内容中的各项要求有详细阐述；2、可实施性：切合本项目实际情况，提出步骤清晰、合理的方案；3、针对性：方案能够紧扣项目实际情况，内容科学合理。上述3项评审内容全部满足评审标准得9分，每有一个评审内容缺项扣3分，每有一项评审内容存在瑕疵，扣1分，扣完为止。说明：内容存在瑕疵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供应商具有2022年1月1日至今的类似项目业绩证明文件（以合同签订时间为准），提供合同复印件加盖公章，每提供一份得2.5分，满分10分。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满足磋商文件要求且磋商总报价最低为评审基准价，其价格分为满分。报价得分=（评审基准价／最终磋商总报价）×权值×100。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详见附件：服务方案响应格式.docx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