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rPr>
          <w:rStyle w:val="6"/>
          <w:rFonts w:ascii="Times New Roman" w:hAnsi="Times New Roman" w:eastAsia="宋体"/>
          <w:color w:val="auto"/>
          <w:sz w:val="36"/>
          <w:szCs w:val="36"/>
          <w:highlight w:val="none"/>
        </w:rPr>
      </w:pPr>
      <w:r>
        <w:rPr>
          <w:rStyle w:val="6"/>
          <w:rFonts w:ascii="Times New Roman" w:hAnsi="Times New Roman" w:eastAsia="宋体"/>
          <w:color w:val="auto"/>
          <w:sz w:val="36"/>
          <w:szCs w:val="36"/>
          <w:highlight w:val="none"/>
        </w:rPr>
        <w:t>拟签订的合同文本</w:t>
      </w:r>
    </w:p>
    <w:p>
      <w:pPr>
        <w:adjustRightInd w:val="0"/>
        <w:snapToGrid w:val="0"/>
        <w:spacing w:line="360" w:lineRule="auto"/>
        <w:ind w:firstLine="480" w:firstLineChars="200"/>
        <w:rPr>
          <w:rFonts w:eastAsia="仿宋_GB2312"/>
          <w:color w:val="auto"/>
          <w:sz w:val="24"/>
          <w:highlight w:val="none"/>
        </w:rPr>
      </w:pPr>
    </w:p>
    <w:p>
      <w:pPr>
        <w:tabs>
          <w:tab w:val="left" w:pos="735"/>
        </w:tabs>
        <w:autoSpaceDE w:val="0"/>
        <w:autoSpaceDN w:val="0"/>
        <w:adjustRightInd w:val="0"/>
        <w:snapToGrid w:val="0"/>
        <w:spacing w:before="240" w:beforeLines="100" w:line="360" w:lineRule="auto"/>
        <w:rPr>
          <w:rFonts w:eastAsia="仿宋_GB2312"/>
          <w:b/>
          <w:bCs/>
          <w:color w:val="auto"/>
          <w:sz w:val="24"/>
          <w:highlight w:val="none"/>
          <w:lang w:val="zh-CN"/>
        </w:rPr>
      </w:pPr>
      <w:r>
        <w:rPr>
          <w:rFonts w:eastAsia="仿宋_GB2312"/>
          <w:b/>
          <w:bCs/>
          <w:color w:val="auto"/>
          <w:sz w:val="24"/>
          <w:highlight w:val="none"/>
          <w:lang w:val="zh-CN"/>
        </w:rPr>
        <w:t>甲方：</w:t>
      </w:r>
      <w:r>
        <w:rPr>
          <w:rFonts w:eastAsia="仿宋_GB2312"/>
          <w:bCs/>
          <w:color w:val="auto"/>
          <w:sz w:val="24"/>
          <w:highlight w:val="none"/>
          <w:lang w:val="zh-CN"/>
        </w:rPr>
        <w:t xml:space="preserve">（前款所称采购人）     </w:t>
      </w:r>
      <w:r>
        <w:rPr>
          <w:rFonts w:hint="eastAsia" w:eastAsia="仿宋_GB2312"/>
          <w:bCs/>
          <w:color w:val="auto"/>
          <w:sz w:val="24"/>
          <w:highlight w:val="none"/>
        </w:rPr>
        <w:t xml:space="preserve">    </w:t>
      </w:r>
      <w:r>
        <w:rPr>
          <w:rFonts w:eastAsia="仿宋_GB2312"/>
          <w:bCs/>
          <w:color w:val="auto"/>
          <w:sz w:val="24"/>
          <w:highlight w:val="none"/>
          <w:lang w:val="zh-CN"/>
        </w:rPr>
        <w:t>住所：</w:t>
      </w:r>
    </w:p>
    <w:p>
      <w:pPr>
        <w:tabs>
          <w:tab w:val="left" w:pos="735"/>
        </w:tabs>
        <w:autoSpaceDE w:val="0"/>
        <w:autoSpaceDN w:val="0"/>
        <w:adjustRightInd w:val="0"/>
        <w:snapToGrid w:val="0"/>
        <w:spacing w:line="360" w:lineRule="auto"/>
        <w:rPr>
          <w:rFonts w:eastAsia="仿宋_GB2312"/>
          <w:bCs/>
          <w:color w:val="auto"/>
          <w:sz w:val="24"/>
          <w:highlight w:val="none"/>
          <w:lang w:val="zh-CN"/>
        </w:rPr>
      </w:pPr>
      <w:r>
        <w:rPr>
          <w:rFonts w:eastAsia="仿宋_GB2312"/>
          <w:b/>
          <w:bCs/>
          <w:color w:val="auto"/>
          <w:sz w:val="24"/>
          <w:highlight w:val="none"/>
          <w:lang w:val="zh-CN"/>
        </w:rPr>
        <w:t>乙方：</w:t>
      </w:r>
      <w:r>
        <w:rPr>
          <w:rFonts w:eastAsia="仿宋_GB2312"/>
          <w:bCs/>
          <w:color w:val="auto"/>
          <w:sz w:val="24"/>
          <w:highlight w:val="none"/>
          <w:lang w:val="zh-CN"/>
        </w:rPr>
        <w:t>（前款所称</w:t>
      </w:r>
      <w:r>
        <w:rPr>
          <w:rFonts w:hint="eastAsia" w:eastAsia="仿宋_GB2312"/>
          <w:bCs/>
          <w:color w:val="auto"/>
          <w:sz w:val="24"/>
          <w:highlight w:val="none"/>
        </w:rPr>
        <w:t>成交供应商</w:t>
      </w:r>
      <w:r>
        <w:rPr>
          <w:rFonts w:eastAsia="仿宋_GB2312"/>
          <w:bCs/>
          <w:color w:val="auto"/>
          <w:sz w:val="24"/>
          <w:highlight w:val="none"/>
          <w:lang w:val="zh-CN"/>
        </w:rPr>
        <w:t>）     住所：</w:t>
      </w:r>
    </w:p>
    <w:p>
      <w:pPr>
        <w:numPr>
          <w:ilvl w:val="0"/>
          <w:numId w:val="1"/>
        </w:numPr>
        <w:adjustRightInd w:val="0"/>
        <w:snapToGrid w:val="0"/>
        <w:spacing w:line="360" w:lineRule="auto"/>
        <w:ind w:firstLine="480" w:firstLineChars="200"/>
        <w:rPr>
          <w:rFonts w:eastAsia="仿宋_GB2312"/>
          <w:color w:val="auto"/>
          <w:sz w:val="24"/>
          <w:highlight w:val="none"/>
        </w:rPr>
      </w:pPr>
      <w:bookmarkStart w:id="0" w:name="_Toc19515384"/>
      <w:r>
        <w:rPr>
          <w:rFonts w:eastAsia="仿宋_GB2312"/>
          <w:color w:val="auto"/>
          <w:sz w:val="24"/>
          <w:highlight w:val="none"/>
        </w:rPr>
        <w:t>合同内容</w:t>
      </w:r>
    </w:p>
    <w:bookmarkEnd w:id="0"/>
    <w:p>
      <w:pPr>
        <w:numPr>
          <w:ilvl w:val="0"/>
          <w:numId w:val="2"/>
        </w:numPr>
        <w:adjustRightInd w:val="0"/>
        <w:snapToGrid w:val="0"/>
        <w:spacing w:line="360" w:lineRule="auto"/>
        <w:ind w:firstLine="480" w:firstLineChars="200"/>
        <w:rPr>
          <w:rFonts w:hint="eastAsia" w:eastAsia="仿宋_GB2312"/>
          <w:color w:val="auto"/>
          <w:sz w:val="24"/>
          <w:highlight w:val="none"/>
          <w:lang w:val="en-US" w:eastAsia="zh-CN"/>
        </w:rPr>
      </w:pPr>
      <w:r>
        <w:rPr>
          <w:rFonts w:hint="eastAsia" w:eastAsia="仿宋_GB2312"/>
          <w:color w:val="auto"/>
          <w:sz w:val="24"/>
          <w:highlight w:val="none"/>
          <w:lang w:val="en-US" w:eastAsia="zh-CN"/>
        </w:rPr>
        <w:t>服务范围：</w:t>
      </w:r>
    </w:p>
    <w:p>
      <w:pPr>
        <w:numPr>
          <w:ilvl w:val="0"/>
          <w:numId w:val="0"/>
        </w:numPr>
        <w:adjustRightInd w:val="0"/>
        <w:snapToGrid w:val="0"/>
        <w:spacing w:line="360" w:lineRule="auto"/>
        <w:ind w:firstLine="480" w:firstLineChars="200"/>
        <w:rPr>
          <w:rFonts w:hint="default" w:eastAsia="仿宋_GB2312"/>
          <w:color w:val="auto"/>
          <w:sz w:val="24"/>
          <w:highlight w:val="none"/>
          <w:lang w:val="en-US" w:eastAsia="zh-CN"/>
        </w:rPr>
      </w:pPr>
      <w:r>
        <w:rPr>
          <w:rFonts w:hint="eastAsia" w:eastAsia="仿宋_GB2312"/>
          <w:color w:val="auto"/>
          <w:sz w:val="24"/>
          <w:highlight w:val="none"/>
          <w:lang w:val="en-US" w:eastAsia="zh-CN"/>
        </w:rPr>
        <w:t>2、服务内容和标准：</w:t>
      </w:r>
    </w:p>
    <w:p>
      <w:pPr>
        <w:adjustRightInd w:val="0"/>
        <w:snapToGrid w:val="0"/>
        <w:spacing w:line="360" w:lineRule="auto"/>
        <w:ind w:firstLine="480" w:firstLineChars="200"/>
        <w:rPr>
          <w:rFonts w:eastAsia="仿宋_GB2312"/>
          <w:color w:val="auto"/>
          <w:sz w:val="24"/>
          <w:highlight w:val="none"/>
        </w:rPr>
      </w:pPr>
      <w:bookmarkStart w:id="1" w:name="_Toc19515385"/>
      <w:r>
        <w:rPr>
          <w:rFonts w:eastAsia="仿宋_GB2312"/>
          <w:color w:val="auto"/>
          <w:sz w:val="24"/>
          <w:highlight w:val="none"/>
        </w:rPr>
        <w:t>二、合同价款</w:t>
      </w:r>
      <w:bookmarkEnd w:id="1"/>
    </w:p>
    <w:p>
      <w:pPr>
        <w:adjustRightInd w:val="0"/>
        <w:snapToGrid w:val="0"/>
        <w:spacing w:line="360" w:lineRule="auto"/>
        <w:ind w:firstLine="480" w:firstLineChars="200"/>
        <w:rPr>
          <w:rFonts w:hint="default" w:eastAsia="仿宋_GB2312"/>
          <w:color w:val="auto"/>
          <w:sz w:val="24"/>
          <w:highlight w:val="none"/>
          <w:lang w:val="en-US" w:eastAsia="zh-CN"/>
        </w:rPr>
      </w:pPr>
      <w:r>
        <w:rPr>
          <w:rFonts w:eastAsia="仿宋_GB2312"/>
          <w:color w:val="auto"/>
          <w:sz w:val="24"/>
          <w:highlight w:val="none"/>
        </w:rPr>
        <w:t>1、合同总价：</w:t>
      </w:r>
      <w:r>
        <w:rPr>
          <w:rFonts w:hint="eastAsia" w:eastAsia="仿宋_GB2312"/>
          <w:color w:val="auto"/>
          <w:sz w:val="24"/>
          <w:highlight w:val="none"/>
          <w:lang w:val="en-US" w:eastAsia="zh-CN"/>
        </w:rPr>
        <w:t>人民币大写：     （¥：）</w:t>
      </w:r>
    </w:p>
    <w:p>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2、合同为固定总价合同，不受市场价变化的影响。</w:t>
      </w:r>
    </w:p>
    <w:p>
      <w:pPr>
        <w:adjustRightInd w:val="0"/>
        <w:snapToGrid w:val="0"/>
        <w:spacing w:line="360" w:lineRule="auto"/>
        <w:ind w:firstLine="480" w:firstLineChars="200"/>
        <w:rPr>
          <w:rFonts w:eastAsia="仿宋_GB2312"/>
          <w:color w:val="auto"/>
          <w:sz w:val="24"/>
          <w:highlight w:val="none"/>
        </w:rPr>
      </w:pPr>
      <w:bookmarkStart w:id="2" w:name="_Toc19515386"/>
      <w:r>
        <w:rPr>
          <w:rFonts w:eastAsia="仿宋_GB2312"/>
          <w:color w:val="auto"/>
          <w:sz w:val="24"/>
          <w:highlight w:val="none"/>
        </w:rPr>
        <w:t>三、合同结算</w:t>
      </w:r>
      <w:bookmarkEnd w:id="2"/>
    </w:p>
    <w:p>
      <w:pPr>
        <w:adjustRightInd w:val="0"/>
        <w:snapToGrid w:val="0"/>
        <w:spacing w:line="360" w:lineRule="auto"/>
        <w:ind w:firstLine="480" w:firstLineChars="200"/>
        <w:rPr>
          <w:rFonts w:eastAsia="仿宋_GB2312"/>
          <w:color w:val="auto"/>
          <w:sz w:val="24"/>
          <w:highlight w:val="none"/>
        </w:rPr>
      </w:pPr>
      <w:bookmarkStart w:id="3" w:name="_Toc19515387"/>
      <w:r>
        <w:rPr>
          <w:rFonts w:eastAsia="仿宋_GB2312"/>
          <w:color w:val="auto"/>
          <w:sz w:val="24"/>
          <w:highlight w:val="none"/>
        </w:rPr>
        <w:t>1、付款比例：</w:t>
      </w:r>
    </w:p>
    <w:p>
      <w:pPr>
        <w:adjustRightInd w:val="0"/>
        <w:snapToGrid w:val="0"/>
        <w:spacing w:line="360" w:lineRule="auto"/>
        <w:ind w:firstLine="480" w:firstLineChars="200"/>
        <w:rPr>
          <w:rFonts w:hint="eastAsia" w:eastAsia="仿宋_GB2312"/>
          <w:color w:val="auto"/>
          <w:sz w:val="24"/>
          <w:highlight w:val="none"/>
        </w:rPr>
      </w:pPr>
      <w:r>
        <w:rPr>
          <w:rFonts w:hint="eastAsia" w:eastAsia="仿宋_GB2312"/>
          <w:color w:val="auto"/>
          <w:sz w:val="24"/>
          <w:highlight w:val="none"/>
          <w:lang w:eastAsia="zh-CN"/>
        </w:rPr>
        <w:t>（</w:t>
      </w:r>
      <w:r>
        <w:rPr>
          <w:rFonts w:hint="eastAsia" w:eastAsia="仿宋_GB2312"/>
          <w:color w:val="auto"/>
          <w:sz w:val="24"/>
          <w:highlight w:val="none"/>
          <w:lang w:val="en-US" w:eastAsia="zh-CN"/>
        </w:rPr>
        <w:t>1</w:t>
      </w:r>
      <w:r>
        <w:rPr>
          <w:rFonts w:hint="eastAsia" w:eastAsia="仿宋_GB2312"/>
          <w:color w:val="auto"/>
          <w:sz w:val="24"/>
          <w:highlight w:val="none"/>
          <w:lang w:eastAsia="zh-CN"/>
        </w:rPr>
        <w:t>）</w:t>
      </w:r>
      <w:r>
        <w:rPr>
          <w:rFonts w:hint="eastAsia" w:eastAsia="仿宋_GB2312"/>
          <w:color w:val="auto"/>
          <w:sz w:val="24"/>
          <w:highlight w:val="none"/>
        </w:rPr>
        <w:t xml:space="preserve"> 待回迁选房工作完成后 ，达到付款条件起60 日内，支付合同总金额的40.00%。</w:t>
      </w:r>
    </w:p>
    <w:p>
      <w:pPr>
        <w:adjustRightInd w:val="0"/>
        <w:snapToGrid w:val="0"/>
        <w:spacing w:line="360" w:lineRule="auto"/>
        <w:ind w:firstLine="480" w:firstLineChars="200"/>
        <w:rPr>
          <w:rFonts w:hint="eastAsia" w:eastAsia="仿宋_GB2312"/>
          <w:color w:val="auto"/>
          <w:sz w:val="24"/>
          <w:highlight w:val="none"/>
          <w:lang w:eastAsia="zh-CN"/>
        </w:rPr>
      </w:pPr>
      <w:r>
        <w:rPr>
          <w:rFonts w:hint="eastAsia" w:eastAsia="仿宋_GB2312"/>
          <w:color w:val="auto"/>
          <w:sz w:val="24"/>
          <w:highlight w:val="none"/>
          <w:lang w:eastAsia="zh-CN"/>
        </w:rPr>
        <w:t>（</w:t>
      </w:r>
      <w:r>
        <w:rPr>
          <w:rFonts w:hint="eastAsia" w:eastAsia="仿宋_GB2312"/>
          <w:color w:val="auto"/>
          <w:sz w:val="24"/>
          <w:highlight w:val="none"/>
          <w:lang w:val="en-US" w:eastAsia="zh-CN"/>
        </w:rPr>
        <w:t>2</w:t>
      </w:r>
      <w:r>
        <w:rPr>
          <w:rFonts w:hint="eastAsia" w:eastAsia="仿宋_GB2312"/>
          <w:color w:val="auto"/>
          <w:sz w:val="24"/>
          <w:highlight w:val="none"/>
          <w:lang w:eastAsia="zh-CN"/>
        </w:rPr>
        <w:t>）</w:t>
      </w:r>
      <w:r>
        <w:rPr>
          <w:rFonts w:hint="eastAsia" w:eastAsia="仿宋_GB2312"/>
          <w:color w:val="auto"/>
          <w:sz w:val="24"/>
          <w:highlight w:val="none"/>
        </w:rPr>
        <w:t>待回迁工作整体完毕后，资料、视频后期工作完成后 ，达到付款条件起60 日内，支付合同总金额的60.00%。</w:t>
      </w:r>
    </w:p>
    <w:p>
      <w:pPr>
        <w:adjustRightInd w:val="0"/>
        <w:snapToGrid w:val="0"/>
        <w:spacing w:line="360" w:lineRule="auto"/>
        <w:ind w:firstLine="480" w:firstLineChars="200"/>
        <w:rPr>
          <w:rFonts w:eastAsia="仿宋_GB2312"/>
          <w:color w:val="auto"/>
          <w:sz w:val="24"/>
          <w:highlight w:val="none"/>
        </w:rPr>
      </w:pPr>
      <w:r>
        <w:rPr>
          <w:rFonts w:hint="eastAsia" w:eastAsia="仿宋_GB2312"/>
          <w:color w:val="auto"/>
          <w:sz w:val="24"/>
          <w:highlight w:val="none"/>
        </w:rPr>
        <w:t>2、结算方式：银行转账。</w:t>
      </w:r>
    </w:p>
    <w:p>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3、结算单位：由</w:t>
      </w:r>
      <w:r>
        <w:rPr>
          <w:rFonts w:hint="eastAsia" w:eastAsia="仿宋_GB2312"/>
          <w:color w:val="auto"/>
          <w:sz w:val="24"/>
          <w:highlight w:val="none"/>
          <w:u w:val="none"/>
          <w:lang w:val="en-US" w:eastAsia="zh-CN"/>
        </w:rPr>
        <w:t>甲方</w:t>
      </w:r>
      <w:r>
        <w:rPr>
          <w:rFonts w:eastAsia="仿宋_GB2312"/>
          <w:color w:val="auto"/>
          <w:sz w:val="24"/>
          <w:highlight w:val="none"/>
        </w:rPr>
        <w:t>负责结算，乙方开具全额发票交采购人。</w:t>
      </w:r>
    </w:p>
    <w:p>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四、履行期限、地点</w:t>
      </w:r>
      <w:bookmarkEnd w:id="3"/>
    </w:p>
    <w:p>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1、履行期限：</w:t>
      </w:r>
      <w:r>
        <w:rPr>
          <w:rFonts w:hint="eastAsia" w:eastAsia="仿宋_GB2312"/>
          <w:color w:val="auto"/>
          <w:sz w:val="24"/>
          <w:highlight w:val="none"/>
        </w:rPr>
        <w:t>自合同签订之日起至兆寨村全部回迁完毕。</w:t>
      </w:r>
    </w:p>
    <w:p>
      <w:pPr>
        <w:adjustRightInd w:val="0"/>
        <w:snapToGrid w:val="0"/>
        <w:spacing w:line="360" w:lineRule="auto"/>
        <w:ind w:firstLine="480" w:firstLineChars="200"/>
        <w:rPr>
          <w:rFonts w:hint="default" w:eastAsia="仿宋_GB2312"/>
          <w:color w:val="auto"/>
          <w:sz w:val="24"/>
          <w:highlight w:val="none"/>
          <w:lang w:val="en-US" w:eastAsia="zh-CN"/>
        </w:rPr>
      </w:pPr>
      <w:r>
        <w:rPr>
          <w:rFonts w:eastAsia="仿宋_GB2312"/>
          <w:color w:val="auto"/>
          <w:sz w:val="24"/>
          <w:highlight w:val="none"/>
        </w:rPr>
        <w:t>2、地点：</w:t>
      </w:r>
      <w:r>
        <w:rPr>
          <w:rFonts w:hint="eastAsia" w:eastAsia="仿宋_GB2312"/>
          <w:color w:val="auto"/>
          <w:sz w:val="24"/>
          <w:highlight w:val="none"/>
          <w:lang w:val="en-US" w:eastAsia="zh-CN"/>
        </w:rPr>
        <w:t>采购人指定地点。</w:t>
      </w:r>
    </w:p>
    <w:p>
      <w:pPr>
        <w:adjustRightInd w:val="0"/>
        <w:snapToGrid w:val="0"/>
        <w:spacing w:line="360" w:lineRule="auto"/>
        <w:ind w:firstLine="480" w:firstLineChars="200"/>
        <w:rPr>
          <w:rFonts w:eastAsia="仿宋_GB2312"/>
          <w:color w:val="auto"/>
          <w:sz w:val="24"/>
          <w:highlight w:val="none"/>
        </w:rPr>
      </w:pPr>
      <w:bookmarkStart w:id="4" w:name="_Toc19515390"/>
      <w:r>
        <w:rPr>
          <w:rFonts w:eastAsia="仿宋_GB2312"/>
          <w:color w:val="auto"/>
          <w:sz w:val="24"/>
          <w:highlight w:val="none"/>
        </w:rPr>
        <w:t>五、</w:t>
      </w:r>
      <w:bookmarkEnd w:id="4"/>
      <w:bookmarkStart w:id="5" w:name="_Toc19515391"/>
      <w:r>
        <w:rPr>
          <w:rFonts w:eastAsia="仿宋_GB2312"/>
          <w:color w:val="auto"/>
          <w:sz w:val="24"/>
          <w:highlight w:val="none"/>
        </w:rPr>
        <w:t>验收</w:t>
      </w:r>
      <w:bookmarkEnd w:id="5"/>
    </w:p>
    <w:p>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1、验收：乙方完成服务内容后，向甲方提出验收申请，甲方接到乙方验收申请后组织验收（必要时可聘请相应专家或委托相应部门验收）。</w:t>
      </w:r>
      <w:r>
        <w:rPr>
          <w:rFonts w:hint="eastAsia" w:eastAsia="仿宋_GB2312"/>
          <w:color w:val="auto"/>
          <w:sz w:val="24"/>
          <w:highlight w:val="none"/>
        </w:rPr>
        <w:t>参与验收的供应商或者第三方机构的意见作为验收书的参考资料一并存档。</w:t>
      </w:r>
    </w:p>
    <w:p>
      <w:pPr>
        <w:adjustRightInd w:val="0"/>
        <w:snapToGrid w:val="0"/>
        <w:spacing w:line="360" w:lineRule="auto"/>
        <w:ind w:firstLine="480" w:firstLineChars="200"/>
        <w:rPr>
          <w:rFonts w:eastAsia="仿宋_GB2312"/>
          <w:color w:val="auto"/>
          <w:sz w:val="24"/>
          <w:highlight w:val="none"/>
        </w:rPr>
      </w:pPr>
      <w:r>
        <w:rPr>
          <w:rFonts w:hint="eastAsia" w:eastAsia="仿宋_GB2312"/>
          <w:color w:val="auto"/>
          <w:sz w:val="24"/>
          <w:highlight w:val="none"/>
        </w:rPr>
        <w:t>2</w:t>
      </w:r>
      <w:r>
        <w:rPr>
          <w:rFonts w:eastAsia="仿宋_GB2312"/>
          <w:color w:val="auto"/>
          <w:sz w:val="24"/>
          <w:highlight w:val="none"/>
        </w:rPr>
        <w:t>、最终验收：最终验收结果作为付款依据，乙方填写验收单，并向甲方提交实施过程中的所有资料，以便甲方日后管理和维护。</w:t>
      </w:r>
    </w:p>
    <w:p>
      <w:pPr>
        <w:adjustRightInd w:val="0"/>
        <w:snapToGrid w:val="0"/>
        <w:spacing w:line="360" w:lineRule="auto"/>
        <w:ind w:firstLine="480" w:firstLineChars="200"/>
        <w:rPr>
          <w:rFonts w:eastAsia="仿宋_GB2312"/>
          <w:color w:val="auto"/>
          <w:sz w:val="24"/>
          <w:highlight w:val="none"/>
        </w:rPr>
      </w:pPr>
      <w:r>
        <w:rPr>
          <w:rFonts w:hint="eastAsia" w:eastAsia="仿宋_GB2312"/>
          <w:color w:val="auto"/>
          <w:sz w:val="24"/>
          <w:highlight w:val="none"/>
        </w:rPr>
        <w:t>3</w:t>
      </w:r>
      <w:r>
        <w:rPr>
          <w:rFonts w:eastAsia="仿宋_GB2312"/>
          <w:color w:val="auto"/>
          <w:sz w:val="24"/>
          <w:highlight w:val="none"/>
        </w:rPr>
        <w:t>、验收依据：</w:t>
      </w:r>
    </w:p>
    <w:p>
      <w:pPr>
        <w:adjustRightInd w:val="0"/>
        <w:snapToGrid w:val="0"/>
        <w:spacing w:line="360" w:lineRule="auto"/>
        <w:ind w:firstLine="480" w:firstLineChars="200"/>
        <w:rPr>
          <w:rFonts w:eastAsia="仿宋_GB2312"/>
          <w:color w:val="auto"/>
          <w:sz w:val="24"/>
          <w:highlight w:val="none"/>
        </w:rPr>
      </w:pPr>
      <w:r>
        <w:rPr>
          <w:rFonts w:hint="eastAsia" w:eastAsia="仿宋_GB2312"/>
          <w:color w:val="auto"/>
          <w:sz w:val="24"/>
          <w:highlight w:val="none"/>
          <w:lang w:val="en-US" w:eastAsia="zh-CN"/>
        </w:rPr>
        <w:t>3</w:t>
      </w:r>
      <w:r>
        <w:rPr>
          <w:rFonts w:hint="eastAsia" w:eastAsia="仿宋_GB2312"/>
          <w:color w:val="auto"/>
          <w:sz w:val="24"/>
          <w:highlight w:val="none"/>
          <w:lang w:eastAsia="zh-CN"/>
        </w:rPr>
        <w:t>.</w:t>
      </w:r>
      <w:r>
        <w:rPr>
          <w:rFonts w:hint="eastAsia" w:eastAsia="仿宋_GB2312"/>
          <w:color w:val="auto"/>
          <w:sz w:val="24"/>
          <w:highlight w:val="none"/>
          <w:lang w:val="en-US" w:eastAsia="zh-CN"/>
        </w:rPr>
        <w:t>1</w:t>
      </w:r>
      <w:r>
        <w:rPr>
          <w:rFonts w:eastAsia="仿宋_GB2312"/>
          <w:color w:val="auto"/>
          <w:sz w:val="24"/>
          <w:highlight w:val="none"/>
        </w:rPr>
        <w:t>合同文本、合同附件、</w:t>
      </w:r>
      <w:r>
        <w:rPr>
          <w:rFonts w:hint="eastAsia" w:eastAsia="仿宋_GB2312"/>
          <w:color w:val="auto"/>
          <w:sz w:val="24"/>
          <w:highlight w:val="none"/>
          <w:lang w:eastAsia="zh-CN"/>
        </w:rPr>
        <w:t>招标</w:t>
      </w:r>
      <w:r>
        <w:rPr>
          <w:rFonts w:hint="eastAsia" w:eastAsia="仿宋_GB2312"/>
          <w:color w:val="auto"/>
          <w:sz w:val="24"/>
          <w:highlight w:val="none"/>
        </w:rPr>
        <w:t>文件</w:t>
      </w:r>
      <w:r>
        <w:rPr>
          <w:rFonts w:eastAsia="仿宋_GB2312"/>
          <w:color w:val="auto"/>
          <w:sz w:val="24"/>
          <w:highlight w:val="none"/>
        </w:rPr>
        <w:t>、</w:t>
      </w:r>
      <w:r>
        <w:rPr>
          <w:rFonts w:hint="eastAsia" w:eastAsia="仿宋_GB2312"/>
          <w:color w:val="auto"/>
          <w:sz w:val="24"/>
          <w:highlight w:val="none"/>
          <w:lang w:eastAsia="zh-CN"/>
        </w:rPr>
        <w:t>投标</w:t>
      </w:r>
      <w:r>
        <w:rPr>
          <w:rFonts w:hint="eastAsia" w:eastAsia="仿宋_GB2312"/>
          <w:color w:val="auto"/>
          <w:sz w:val="24"/>
          <w:highlight w:val="none"/>
        </w:rPr>
        <w:t>文件</w:t>
      </w:r>
      <w:r>
        <w:rPr>
          <w:rFonts w:eastAsia="仿宋_GB2312"/>
          <w:color w:val="auto"/>
          <w:sz w:val="24"/>
          <w:highlight w:val="none"/>
        </w:rPr>
        <w:t>。</w:t>
      </w:r>
    </w:p>
    <w:p>
      <w:pPr>
        <w:adjustRightInd w:val="0"/>
        <w:snapToGrid w:val="0"/>
        <w:spacing w:line="360" w:lineRule="auto"/>
        <w:ind w:firstLine="480" w:firstLineChars="200"/>
        <w:rPr>
          <w:rFonts w:eastAsia="仿宋_GB2312"/>
          <w:color w:val="auto"/>
          <w:sz w:val="24"/>
          <w:highlight w:val="none"/>
        </w:rPr>
      </w:pPr>
      <w:r>
        <w:rPr>
          <w:rFonts w:hint="eastAsia" w:eastAsia="仿宋_GB2312"/>
          <w:color w:val="auto"/>
          <w:sz w:val="24"/>
          <w:highlight w:val="none"/>
          <w:lang w:val="en-US" w:eastAsia="zh-CN"/>
        </w:rPr>
        <w:t>3.2</w:t>
      </w:r>
      <w:r>
        <w:rPr>
          <w:rFonts w:eastAsia="仿宋_GB2312"/>
          <w:color w:val="auto"/>
          <w:sz w:val="24"/>
          <w:highlight w:val="none"/>
        </w:rPr>
        <w:t>国内相应的标准、规范。</w:t>
      </w:r>
    </w:p>
    <w:p>
      <w:pPr>
        <w:adjustRightInd w:val="0"/>
        <w:snapToGrid w:val="0"/>
        <w:spacing w:line="360" w:lineRule="auto"/>
        <w:ind w:firstLine="480" w:firstLineChars="200"/>
        <w:rPr>
          <w:rFonts w:hint="default" w:eastAsia="仿宋_GB2312"/>
          <w:color w:val="auto"/>
          <w:sz w:val="24"/>
          <w:highlight w:val="none"/>
          <w:lang w:val="en-US" w:eastAsia="zh-CN"/>
        </w:rPr>
      </w:pPr>
      <w:r>
        <w:rPr>
          <w:rFonts w:hint="eastAsia" w:eastAsia="仿宋_GB2312"/>
          <w:color w:val="auto"/>
          <w:sz w:val="24"/>
          <w:highlight w:val="none"/>
          <w:lang w:val="en-US" w:eastAsia="zh-CN"/>
        </w:rPr>
        <w:t>3.3其他适用的依据。</w:t>
      </w:r>
    </w:p>
    <w:p>
      <w:pPr>
        <w:adjustRightInd w:val="0"/>
        <w:snapToGrid w:val="0"/>
        <w:spacing w:line="360" w:lineRule="auto"/>
        <w:ind w:firstLine="480" w:firstLineChars="200"/>
        <w:rPr>
          <w:rFonts w:hint="default" w:eastAsia="仿宋_GB2312"/>
          <w:color w:val="auto"/>
          <w:sz w:val="24"/>
          <w:highlight w:val="none"/>
          <w:lang w:val="en-US" w:eastAsia="zh-CN"/>
        </w:rPr>
      </w:pPr>
      <w:bookmarkStart w:id="6" w:name="_Toc19515392"/>
      <w:r>
        <w:rPr>
          <w:rFonts w:hint="eastAsia" w:eastAsia="仿宋_GB2312"/>
          <w:color w:val="auto"/>
          <w:sz w:val="24"/>
          <w:highlight w:val="none"/>
          <w:lang w:val="en-US" w:eastAsia="zh-CN"/>
        </w:rPr>
        <w:t>六、双方的权利及义务</w:t>
      </w:r>
    </w:p>
    <w:p>
      <w:pPr>
        <w:adjustRightInd w:val="0"/>
        <w:snapToGrid w:val="0"/>
        <w:spacing w:line="360" w:lineRule="auto"/>
        <w:ind w:firstLine="480" w:firstLineChars="200"/>
        <w:rPr>
          <w:rFonts w:hint="eastAsia" w:eastAsia="仿宋_GB2312"/>
          <w:color w:val="auto"/>
          <w:sz w:val="24"/>
          <w:highlight w:val="none"/>
        </w:rPr>
      </w:pPr>
      <w:r>
        <w:rPr>
          <w:rFonts w:hint="eastAsia" w:eastAsia="仿宋_GB2312"/>
          <w:color w:val="auto"/>
          <w:sz w:val="24"/>
          <w:highlight w:val="none"/>
        </w:rPr>
        <w:t>1、甲方的权利义务</w:t>
      </w:r>
    </w:p>
    <w:p>
      <w:pPr>
        <w:adjustRightInd w:val="0"/>
        <w:snapToGrid w:val="0"/>
        <w:spacing w:line="360" w:lineRule="auto"/>
        <w:ind w:firstLine="480" w:firstLineChars="200"/>
        <w:rPr>
          <w:rFonts w:hint="eastAsia" w:eastAsia="仿宋_GB2312"/>
          <w:color w:val="auto"/>
          <w:sz w:val="24"/>
          <w:highlight w:val="none"/>
        </w:rPr>
      </w:pPr>
      <w:r>
        <w:rPr>
          <w:rFonts w:hint="eastAsia" w:eastAsia="仿宋_GB2312"/>
          <w:color w:val="auto"/>
          <w:sz w:val="24"/>
          <w:highlight w:val="none"/>
        </w:rPr>
        <w:t>1.1为保证合同期间</w:t>
      </w:r>
      <w:r>
        <w:rPr>
          <w:rFonts w:hint="eastAsia" w:eastAsia="仿宋_GB2312"/>
          <w:color w:val="auto"/>
          <w:sz w:val="24"/>
          <w:highlight w:val="none"/>
          <w:lang w:val="en-US" w:eastAsia="zh-CN"/>
        </w:rPr>
        <w:t>服务</w:t>
      </w:r>
      <w:r>
        <w:rPr>
          <w:rFonts w:hint="eastAsia" w:eastAsia="仿宋_GB2312"/>
          <w:color w:val="auto"/>
          <w:sz w:val="24"/>
          <w:highlight w:val="none"/>
        </w:rPr>
        <w:t>质量，甲方有权对合同执行的全过程进行监督，随时就各项工程提出合理意见和要求</w:t>
      </w:r>
      <w:r>
        <w:rPr>
          <w:rFonts w:hint="eastAsia" w:eastAsia="仿宋_GB2312"/>
          <w:color w:val="auto"/>
          <w:sz w:val="24"/>
          <w:highlight w:val="none"/>
          <w:lang w:val="en-US" w:eastAsia="zh-CN"/>
        </w:rPr>
        <w:t>。</w:t>
      </w:r>
      <w:r>
        <w:rPr>
          <w:rFonts w:hint="eastAsia" w:eastAsia="仿宋_GB2312"/>
          <w:color w:val="auto"/>
          <w:sz w:val="24"/>
          <w:highlight w:val="none"/>
        </w:rPr>
        <w:t>对未执行或执行不到位</w:t>
      </w:r>
      <w:r>
        <w:rPr>
          <w:rFonts w:hint="eastAsia" w:eastAsia="仿宋_GB2312"/>
          <w:color w:val="auto"/>
          <w:sz w:val="24"/>
          <w:highlight w:val="none"/>
          <w:lang w:val="en-US" w:eastAsia="zh-CN"/>
        </w:rPr>
        <w:t>拒不改正</w:t>
      </w:r>
      <w:r>
        <w:rPr>
          <w:rFonts w:hint="eastAsia" w:eastAsia="仿宋_GB2312"/>
          <w:color w:val="auto"/>
          <w:sz w:val="24"/>
          <w:highlight w:val="none"/>
        </w:rPr>
        <w:t>的，甲方有权安排</w:t>
      </w:r>
      <w:r>
        <w:rPr>
          <w:rFonts w:hint="eastAsia" w:eastAsia="仿宋_GB2312"/>
          <w:color w:val="auto"/>
          <w:sz w:val="24"/>
          <w:highlight w:val="none"/>
          <w:lang w:eastAsia="zh-CN"/>
        </w:rPr>
        <w:t>其他</w:t>
      </w:r>
      <w:r>
        <w:rPr>
          <w:rFonts w:hint="eastAsia" w:eastAsia="仿宋_GB2312"/>
          <w:color w:val="auto"/>
          <w:sz w:val="24"/>
          <w:highlight w:val="none"/>
        </w:rPr>
        <w:t>单位</w:t>
      </w:r>
      <w:r>
        <w:rPr>
          <w:rFonts w:hint="eastAsia" w:eastAsia="仿宋_GB2312"/>
          <w:color w:val="auto"/>
          <w:sz w:val="24"/>
          <w:highlight w:val="none"/>
          <w:lang w:eastAsia="zh-CN"/>
        </w:rPr>
        <w:t>进行相关服务</w:t>
      </w:r>
      <w:r>
        <w:rPr>
          <w:rFonts w:hint="eastAsia" w:eastAsia="仿宋_GB2312"/>
          <w:color w:val="auto"/>
          <w:sz w:val="24"/>
          <w:highlight w:val="none"/>
        </w:rPr>
        <w:t>，</w:t>
      </w:r>
      <w:r>
        <w:rPr>
          <w:rFonts w:hint="eastAsia" w:eastAsia="仿宋_GB2312"/>
          <w:color w:val="auto"/>
          <w:sz w:val="24"/>
          <w:highlight w:val="none"/>
          <w:lang w:eastAsia="zh-CN"/>
        </w:rPr>
        <w:t>相关</w:t>
      </w:r>
      <w:r>
        <w:rPr>
          <w:rFonts w:hint="eastAsia" w:eastAsia="仿宋_GB2312"/>
          <w:color w:val="auto"/>
          <w:sz w:val="24"/>
          <w:highlight w:val="none"/>
        </w:rPr>
        <w:t>费用在结算时扣减</w:t>
      </w:r>
      <w:r>
        <w:rPr>
          <w:rFonts w:hint="eastAsia" w:eastAsia="仿宋_GB2312"/>
          <w:color w:val="auto"/>
          <w:sz w:val="24"/>
          <w:highlight w:val="none"/>
          <w:lang w:eastAsia="zh-CN"/>
        </w:rPr>
        <w:t>，</w:t>
      </w:r>
      <w:r>
        <w:rPr>
          <w:rFonts w:hint="eastAsia" w:eastAsia="仿宋_GB2312"/>
          <w:color w:val="auto"/>
          <w:sz w:val="24"/>
          <w:highlight w:val="none"/>
          <w:lang w:val="en-US" w:eastAsia="zh-CN"/>
        </w:rPr>
        <w:t>由此造成的损失由乙方承担</w:t>
      </w:r>
      <w:r>
        <w:rPr>
          <w:rFonts w:hint="eastAsia" w:eastAsia="仿宋_GB2312"/>
          <w:color w:val="auto"/>
          <w:sz w:val="24"/>
          <w:highlight w:val="none"/>
        </w:rPr>
        <w:t>。</w:t>
      </w:r>
    </w:p>
    <w:p>
      <w:pPr>
        <w:adjustRightInd w:val="0"/>
        <w:snapToGrid w:val="0"/>
        <w:spacing w:line="360" w:lineRule="auto"/>
        <w:ind w:firstLine="480" w:firstLineChars="200"/>
        <w:rPr>
          <w:rFonts w:hint="eastAsia" w:eastAsia="仿宋_GB2312"/>
          <w:color w:val="auto"/>
          <w:sz w:val="24"/>
          <w:highlight w:val="none"/>
        </w:rPr>
      </w:pPr>
      <w:r>
        <w:rPr>
          <w:rFonts w:hint="eastAsia" w:eastAsia="仿宋_GB2312"/>
          <w:color w:val="auto"/>
          <w:sz w:val="24"/>
          <w:highlight w:val="none"/>
        </w:rPr>
        <w:t>1.2对乙方雇员中不称职者，有权提出更换意见，对其中违规违纪人员提出处理意见。</w:t>
      </w:r>
    </w:p>
    <w:p>
      <w:pPr>
        <w:adjustRightInd w:val="0"/>
        <w:snapToGrid w:val="0"/>
        <w:spacing w:line="360" w:lineRule="auto"/>
        <w:ind w:firstLine="480" w:firstLineChars="200"/>
        <w:rPr>
          <w:rFonts w:hint="eastAsia" w:eastAsia="仿宋_GB2312"/>
          <w:color w:val="auto"/>
          <w:sz w:val="24"/>
          <w:highlight w:val="none"/>
        </w:rPr>
      </w:pPr>
      <w:r>
        <w:rPr>
          <w:rFonts w:hint="eastAsia" w:eastAsia="仿宋_GB2312"/>
          <w:color w:val="auto"/>
          <w:sz w:val="24"/>
          <w:highlight w:val="none"/>
        </w:rPr>
        <w:t>1.</w:t>
      </w:r>
      <w:r>
        <w:rPr>
          <w:rFonts w:hint="eastAsia" w:eastAsia="仿宋_GB2312"/>
          <w:color w:val="auto"/>
          <w:sz w:val="24"/>
          <w:highlight w:val="none"/>
          <w:lang w:val="en-US" w:eastAsia="zh-CN"/>
        </w:rPr>
        <w:t>3</w:t>
      </w:r>
      <w:r>
        <w:rPr>
          <w:rFonts w:hint="eastAsia" w:eastAsia="仿宋_GB2312"/>
          <w:color w:val="auto"/>
          <w:sz w:val="24"/>
          <w:highlight w:val="none"/>
        </w:rPr>
        <w:t>甲方有义务为乙方提供工作上的方便，负责沟通协调各方的工作关系。</w:t>
      </w:r>
    </w:p>
    <w:p>
      <w:pPr>
        <w:adjustRightInd w:val="0"/>
        <w:snapToGrid w:val="0"/>
        <w:spacing w:line="360" w:lineRule="auto"/>
        <w:ind w:firstLine="480" w:firstLineChars="200"/>
        <w:rPr>
          <w:rFonts w:hint="eastAsia" w:eastAsia="仿宋_GB2312"/>
          <w:color w:val="auto"/>
          <w:sz w:val="24"/>
          <w:highlight w:val="none"/>
        </w:rPr>
      </w:pPr>
      <w:r>
        <w:rPr>
          <w:rFonts w:hint="eastAsia" w:eastAsia="仿宋_GB2312"/>
          <w:color w:val="auto"/>
          <w:sz w:val="24"/>
          <w:highlight w:val="none"/>
        </w:rPr>
        <w:t>1.</w:t>
      </w:r>
      <w:r>
        <w:rPr>
          <w:rFonts w:hint="eastAsia" w:eastAsia="仿宋_GB2312"/>
          <w:color w:val="auto"/>
          <w:sz w:val="24"/>
          <w:highlight w:val="none"/>
          <w:lang w:val="en-US" w:eastAsia="zh-CN"/>
        </w:rPr>
        <w:t>4</w:t>
      </w:r>
      <w:r>
        <w:rPr>
          <w:rFonts w:hint="eastAsia" w:eastAsia="仿宋_GB2312"/>
          <w:color w:val="auto"/>
          <w:sz w:val="24"/>
          <w:highlight w:val="none"/>
        </w:rPr>
        <w:t xml:space="preserve"> 按合同约定向乙方支付费用。</w:t>
      </w:r>
    </w:p>
    <w:p>
      <w:pPr>
        <w:adjustRightInd w:val="0"/>
        <w:snapToGrid w:val="0"/>
        <w:spacing w:line="360" w:lineRule="auto"/>
        <w:ind w:firstLine="480" w:firstLineChars="200"/>
        <w:rPr>
          <w:rFonts w:hint="eastAsia" w:eastAsia="仿宋_GB2312"/>
          <w:color w:val="auto"/>
          <w:sz w:val="24"/>
          <w:highlight w:val="none"/>
        </w:rPr>
      </w:pPr>
      <w:r>
        <w:rPr>
          <w:rFonts w:hint="eastAsia" w:eastAsia="仿宋_GB2312"/>
          <w:color w:val="auto"/>
          <w:sz w:val="24"/>
          <w:highlight w:val="none"/>
        </w:rPr>
        <w:t>1.</w:t>
      </w:r>
      <w:r>
        <w:rPr>
          <w:rFonts w:hint="eastAsia" w:eastAsia="仿宋_GB2312"/>
          <w:color w:val="auto"/>
          <w:sz w:val="24"/>
          <w:highlight w:val="none"/>
          <w:lang w:val="en-US" w:eastAsia="zh-CN"/>
        </w:rPr>
        <w:t>5</w:t>
      </w:r>
      <w:r>
        <w:rPr>
          <w:rFonts w:hint="eastAsia" w:eastAsia="仿宋_GB2312"/>
          <w:color w:val="auto"/>
          <w:sz w:val="24"/>
          <w:highlight w:val="none"/>
        </w:rPr>
        <w:t>乙方违法或违反本合同将</w:t>
      </w:r>
      <w:r>
        <w:rPr>
          <w:rFonts w:hint="eastAsia" w:eastAsia="仿宋_GB2312"/>
          <w:color w:val="auto"/>
          <w:sz w:val="24"/>
          <w:highlight w:val="none"/>
          <w:lang w:eastAsia="zh-CN"/>
        </w:rPr>
        <w:t>项目</w:t>
      </w:r>
      <w:r>
        <w:rPr>
          <w:rFonts w:hint="eastAsia" w:eastAsia="仿宋_GB2312"/>
          <w:color w:val="auto"/>
          <w:sz w:val="24"/>
          <w:highlight w:val="none"/>
        </w:rPr>
        <w:t>转包的，甲方有权解除本合同，因此造成的一切损失由乙方承担。</w:t>
      </w:r>
    </w:p>
    <w:p>
      <w:pPr>
        <w:adjustRightInd w:val="0"/>
        <w:snapToGrid w:val="0"/>
        <w:spacing w:line="360" w:lineRule="auto"/>
        <w:ind w:firstLine="480" w:firstLineChars="200"/>
        <w:rPr>
          <w:rFonts w:hint="eastAsia" w:eastAsia="仿宋_GB2312"/>
          <w:color w:val="auto"/>
          <w:sz w:val="24"/>
          <w:highlight w:val="none"/>
        </w:rPr>
      </w:pPr>
      <w:r>
        <w:rPr>
          <w:rFonts w:hint="eastAsia" w:eastAsia="仿宋_GB2312"/>
          <w:color w:val="auto"/>
          <w:sz w:val="24"/>
          <w:highlight w:val="none"/>
        </w:rPr>
        <w:t>1.</w:t>
      </w:r>
      <w:r>
        <w:rPr>
          <w:rFonts w:hint="eastAsia" w:eastAsia="仿宋_GB2312"/>
          <w:color w:val="auto"/>
          <w:sz w:val="24"/>
          <w:highlight w:val="none"/>
          <w:lang w:val="en-US" w:eastAsia="zh-CN"/>
        </w:rPr>
        <w:t>6</w:t>
      </w:r>
      <w:r>
        <w:rPr>
          <w:rFonts w:hint="eastAsia" w:eastAsia="仿宋_GB2312"/>
          <w:color w:val="auto"/>
          <w:sz w:val="24"/>
          <w:highlight w:val="none"/>
        </w:rPr>
        <w:t>甲方需要时，可能对</w:t>
      </w:r>
      <w:r>
        <w:rPr>
          <w:rFonts w:hint="eastAsia" w:eastAsia="仿宋_GB2312"/>
          <w:color w:val="auto"/>
          <w:sz w:val="24"/>
          <w:highlight w:val="none"/>
          <w:lang w:eastAsia="zh-CN"/>
        </w:rPr>
        <w:t>服务内容</w:t>
      </w:r>
      <w:r>
        <w:rPr>
          <w:rFonts w:hint="eastAsia" w:eastAsia="仿宋_GB2312"/>
          <w:color w:val="auto"/>
          <w:sz w:val="24"/>
          <w:highlight w:val="none"/>
        </w:rPr>
        <w:t>做出某些限制和配合要求，乙方应积极配合。</w:t>
      </w:r>
    </w:p>
    <w:p>
      <w:pPr>
        <w:adjustRightInd w:val="0"/>
        <w:snapToGrid w:val="0"/>
        <w:spacing w:line="360" w:lineRule="auto"/>
        <w:ind w:firstLine="480" w:firstLineChars="200"/>
        <w:rPr>
          <w:rFonts w:hint="eastAsia" w:eastAsia="仿宋_GB2312"/>
          <w:color w:val="auto"/>
          <w:sz w:val="24"/>
          <w:highlight w:val="none"/>
        </w:rPr>
      </w:pPr>
      <w:r>
        <w:rPr>
          <w:rFonts w:hint="eastAsia" w:eastAsia="仿宋_GB2312"/>
          <w:color w:val="auto"/>
          <w:sz w:val="24"/>
          <w:highlight w:val="none"/>
        </w:rPr>
        <w:t>2、乙方的权利义务</w:t>
      </w:r>
    </w:p>
    <w:p>
      <w:pPr>
        <w:adjustRightInd w:val="0"/>
        <w:snapToGrid w:val="0"/>
        <w:spacing w:line="360" w:lineRule="auto"/>
        <w:ind w:firstLine="480" w:firstLineChars="200"/>
        <w:rPr>
          <w:rFonts w:hint="eastAsia" w:eastAsia="仿宋_GB2312"/>
          <w:color w:val="auto"/>
          <w:sz w:val="24"/>
          <w:highlight w:val="none"/>
        </w:rPr>
      </w:pPr>
      <w:r>
        <w:rPr>
          <w:rFonts w:hint="eastAsia" w:eastAsia="仿宋_GB2312"/>
          <w:color w:val="auto"/>
          <w:sz w:val="24"/>
          <w:highlight w:val="none"/>
        </w:rPr>
        <w:t>2.1依据甲方用人条件及管理规定，自主选用管理人员和</w:t>
      </w:r>
      <w:r>
        <w:rPr>
          <w:rFonts w:hint="eastAsia" w:eastAsia="仿宋_GB2312"/>
          <w:color w:val="auto"/>
          <w:sz w:val="24"/>
          <w:highlight w:val="none"/>
          <w:lang w:eastAsia="zh-CN"/>
        </w:rPr>
        <w:t>服务人员</w:t>
      </w:r>
      <w:r>
        <w:rPr>
          <w:rFonts w:hint="eastAsia" w:eastAsia="仿宋_GB2312"/>
          <w:color w:val="auto"/>
          <w:sz w:val="24"/>
          <w:highlight w:val="none"/>
        </w:rPr>
        <w:t>，并将拟定的用人对象、工作流程、管理制度、</w:t>
      </w:r>
      <w:r>
        <w:rPr>
          <w:rFonts w:hint="eastAsia" w:eastAsia="仿宋_GB2312"/>
          <w:color w:val="auto"/>
          <w:sz w:val="24"/>
          <w:highlight w:val="none"/>
          <w:lang w:eastAsia="zh-CN"/>
        </w:rPr>
        <w:t>服务</w:t>
      </w:r>
      <w:r>
        <w:rPr>
          <w:rFonts w:hint="eastAsia" w:eastAsia="仿宋_GB2312"/>
          <w:color w:val="auto"/>
          <w:sz w:val="24"/>
          <w:highlight w:val="none"/>
        </w:rPr>
        <w:t>方案、工期安排等向甲方备案。</w:t>
      </w:r>
    </w:p>
    <w:p>
      <w:pPr>
        <w:adjustRightInd w:val="0"/>
        <w:snapToGrid w:val="0"/>
        <w:spacing w:line="360" w:lineRule="auto"/>
        <w:ind w:firstLine="480" w:firstLineChars="200"/>
        <w:rPr>
          <w:rFonts w:hint="eastAsia" w:eastAsia="仿宋_GB2312"/>
          <w:color w:val="auto"/>
          <w:sz w:val="24"/>
          <w:highlight w:val="none"/>
        </w:rPr>
      </w:pPr>
      <w:r>
        <w:rPr>
          <w:rFonts w:hint="eastAsia" w:eastAsia="仿宋_GB2312"/>
          <w:color w:val="auto"/>
          <w:sz w:val="24"/>
          <w:highlight w:val="none"/>
        </w:rPr>
        <w:t>2.2 对于工作过程中发生的一切人身伤亡事故及其他损害，由乙方承担所有责任。若因乙方原因累及甲方，造成甲方承担的有关法律责任，乙方应赔偿造成的一切损失。</w:t>
      </w:r>
    </w:p>
    <w:p>
      <w:pPr>
        <w:adjustRightInd w:val="0"/>
        <w:snapToGrid w:val="0"/>
        <w:spacing w:line="360" w:lineRule="auto"/>
        <w:ind w:firstLine="480" w:firstLineChars="200"/>
        <w:rPr>
          <w:rFonts w:hint="eastAsia" w:eastAsia="仿宋_GB2312"/>
          <w:color w:val="auto"/>
          <w:sz w:val="24"/>
          <w:highlight w:val="none"/>
        </w:rPr>
      </w:pPr>
      <w:r>
        <w:rPr>
          <w:rFonts w:hint="eastAsia" w:eastAsia="仿宋_GB2312"/>
          <w:color w:val="auto"/>
          <w:sz w:val="24"/>
          <w:highlight w:val="none"/>
        </w:rPr>
        <w:t xml:space="preserve">2.3 </w:t>
      </w:r>
      <w:r>
        <w:rPr>
          <w:rFonts w:hint="eastAsia" w:eastAsia="仿宋_GB2312"/>
          <w:color w:val="auto"/>
          <w:sz w:val="24"/>
          <w:highlight w:val="none"/>
          <w:lang w:val="en-US" w:eastAsia="zh-CN"/>
        </w:rPr>
        <w:t>配足回迁选房相关的设施设备</w:t>
      </w:r>
      <w:r>
        <w:rPr>
          <w:rFonts w:hint="eastAsia" w:eastAsia="仿宋_GB2312"/>
          <w:color w:val="auto"/>
          <w:sz w:val="24"/>
          <w:highlight w:val="none"/>
        </w:rPr>
        <w:t>，费用由乙方承担。</w:t>
      </w:r>
    </w:p>
    <w:p>
      <w:pPr>
        <w:adjustRightInd w:val="0"/>
        <w:snapToGrid w:val="0"/>
        <w:spacing w:line="360" w:lineRule="auto"/>
        <w:ind w:firstLine="480" w:firstLineChars="200"/>
        <w:rPr>
          <w:rFonts w:hint="eastAsia" w:eastAsia="仿宋_GB2312"/>
          <w:color w:val="auto"/>
          <w:sz w:val="24"/>
          <w:highlight w:val="none"/>
        </w:rPr>
      </w:pPr>
      <w:r>
        <w:rPr>
          <w:rFonts w:hint="eastAsia" w:eastAsia="仿宋_GB2312"/>
          <w:color w:val="auto"/>
          <w:sz w:val="24"/>
          <w:highlight w:val="none"/>
        </w:rPr>
        <w:t>2.4</w:t>
      </w:r>
      <w:r>
        <w:rPr>
          <w:rFonts w:hint="eastAsia" w:eastAsia="仿宋_GB2312"/>
          <w:color w:val="auto"/>
          <w:sz w:val="24"/>
          <w:highlight w:val="none"/>
          <w:lang w:eastAsia="zh-CN"/>
        </w:rPr>
        <w:t>做</w:t>
      </w:r>
      <w:r>
        <w:rPr>
          <w:rFonts w:hint="eastAsia" w:eastAsia="仿宋_GB2312"/>
          <w:color w:val="auto"/>
          <w:sz w:val="24"/>
          <w:highlight w:val="none"/>
        </w:rPr>
        <w:t>好员工</w:t>
      </w:r>
      <w:r>
        <w:rPr>
          <w:rFonts w:hint="eastAsia" w:eastAsia="仿宋_GB2312"/>
          <w:color w:val="auto"/>
          <w:sz w:val="24"/>
          <w:highlight w:val="none"/>
          <w:lang w:eastAsia="zh-CN"/>
        </w:rPr>
        <w:t>技能</w:t>
      </w:r>
      <w:r>
        <w:rPr>
          <w:rFonts w:hint="eastAsia" w:eastAsia="仿宋_GB2312"/>
          <w:color w:val="auto"/>
          <w:sz w:val="24"/>
          <w:highlight w:val="none"/>
        </w:rPr>
        <w:t>培训，</w:t>
      </w:r>
      <w:r>
        <w:rPr>
          <w:rFonts w:hint="eastAsia" w:eastAsia="仿宋_GB2312"/>
          <w:color w:val="auto"/>
          <w:sz w:val="24"/>
          <w:highlight w:val="none"/>
          <w:lang w:eastAsia="zh-CN"/>
        </w:rPr>
        <w:t>对不合格或不能胜任工作的人员应及时清退更换</w:t>
      </w:r>
      <w:r>
        <w:rPr>
          <w:rFonts w:hint="eastAsia" w:eastAsia="仿宋_GB2312"/>
          <w:color w:val="auto"/>
          <w:sz w:val="24"/>
          <w:highlight w:val="none"/>
        </w:rPr>
        <w:t>。</w:t>
      </w:r>
    </w:p>
    <w:p>
      <w:pPr>
        <w:adjustRightInd w:val="0"/>
        <w:snapToGrid w:val="0"/>
        <w:spacing w:line="360" w:lineRule="auto"/>
        <w:ind w:firstLine="480" w:firstLineChars="200"/>
        <w:rPr>
          <w:rFonts w:hint="default" w:eastAsia="仿宋_GB2312"/>
          <w:color w:val="auto"/>
          <w:sz w:val="24"/>
          <w:highlight w:val="none"/>
          <w:lang w:val="en-US" w:eastAsia="zh-CN"/>
        </w:rPr>
      </w:pPr>
      <w:r>
        <w:rPr>
          <w:rFonts w:hint="eastAsia" w:eastAsia="仿宋_GB2312"/>
          <w:color w:val="auto"/>
          <w:sz w:val="24"/>
          <w:highlight w:val="none"/>
        </w:rPr>
        <w:t>2.5协助甲方做好相关工作</w:t>
      </w:r>
      <w:r>
        <w:rPr>
          <w:rFonts w:hint="eastAsia" w:eastAsia="仿宋_GB2312"/>
          <w:color w:val="auto"/>
          <w:sz w:val="24"/>
          <w:highlight w:val="none"/>
          <w:lang w:eastAsia="zh-CN"/>
        </w:rPr>
        <w:t>，</w:t>
      </w:r>
      <w:r>
        <w:rPr>
          <w:rFonts w:hint="eastAsia" w:eastAsia="仿宋_GB2312"/>
          <w:color w:val="auto"/>
          <w:sz w:val="24"/>
          <w:highlight w:val="none"/>
        </w:rPr>
        <w:t>对</w:t>
      </w:r>
      <w:r>
        <w:rPr>
          <w:rFonts w:hint="eastAsia" w:eastAsia="仿宋_GB2312"/>
          <w:color w:val="auto"/>
          <w:sz w:val="24"/>
          <w:highlight w:val="none"/>
          <w:lang w:eastAsia="zh-CN"/>
        </w:rPr>
        <w:t>回迁选房过程中异常</w:t>
      </w:r>
      <w:r>
        <w:rPr>
          <w:rFonts w:hint="eastAsia" w:eastAsia="仿宋_GB2312"/>
          <w:color w:val="auto"/>
          <w:sz w:val="24"/>
          <w:highlight w:val="none"/>
        </w:rPr>
        <w:t>的情况有义务</w:t>
      </w:r>
      <w:r>
        <w:rPr>
          <w:rFonts w:hint="eastAsia" w:eastAsia="仿宋_GB2312"/>
          <w:color w:val="auto"/>
          <w:sz w:val="24"/>
          <w:highlight w:val="none"/>
          <w:lang w:eastAsia="zh-CN"/>
        </w:rPr>
        <w:t>及时</w:t>
      </w:r>
      <w:r>
        <w:rPr>
          <w:rFonts w:hint="eastAsia" w:eastAsia="仿宋_GB2312"/>
          <w:color w:val="auto"/>
          <w:sz w:val="24"/>
          <w:highlight w:val="none"/>
        </w:rPr>
        <w:t>向</w:t>
      </w:r>
      <w:r>
        <w:rPr>
          <w:rFonts w:hint="eastAsia" w:eastAsia="仿宋_GB2312"/>
          <w:color w:val="auto"/>
          <w:sz w:val="24"/>
          <w:highlight w:val="none"/>
          <w:lang w:eastAsia="zh-CN"/>
        </w:rPr>
        <w:t>甲方</w:t>
      </w:r>
      <w:r>
        <w:rPr>
          <w:rFonts w:hint="eastAsia" w:eastAsia="仿宋_GB2312"/>
          <w:color w:val="auto"/>
          <w:sz w:val="24"/>
          <w:highlight w:val="none"/>
        </w:rPr>
        <w:t>相关人员报告，并协助甲方</w:t>
      </w:r>
      <w:r>
        <w:rPr>
          <w:rFonts w:hint="eastAsia" w:eastAsia="仿宋_GB2312"/>
          <w:color w:val="auto"/>
          <w:sz w:val="24"/>
          <w:highlight w:val="none"/>
          <w:lang w:eastAsia="zh-CN"/>
        </w:rPr>
        <w:t>处理</w:t>
      </w:r>
      <w:r>
        <w:rPr>
          <w:rFonts w:hint="eastAsia" w:eastAsia="仿宋_GB2312"/>
          <w:color w:val="auto"/>
          <w:sz w:val="24"/>
          <w:highlight w:val="none"/>
        </w:rPr>
        <w:t>。</w:t>
      </w:r>
    </w:p>
    <w:p>
      <w:pPr>
        <w:adjustRightInd w:val="0"/>
        <w:snapToGrid w:val="0"/>
        <w:spacing w:line="360" w:lineRule="auto"/>
        <w:ind w:firstLine="480" w:firstLineChars="200"/>
        <w:rPr>
          <w:rFonts w:eastAsia="仿宋_GB2312"/>
          <w:color w:val="auto"/>
          <w:sz w:val="24"/>
          <w:highlight w:val="none"/>
        </w:rPr>
      </w:pPr>
      <w:r>
        <w:rPr>
          <w:rFonts w:hint="eastAsia" w:eastAsia="仿宋_GB2312"/>
          <w:color w:val="auto"/>
          <w:sz w:val="24"/>
          <w:highlight w:val="none"/>
          <w:lang w:val="en-US" w:eastAsia="zh-CN"/>
        </w:rPr>
        <w:t>七</w:t>
      </w:r>
      <w:r>
        <w:rPr>
          <w:rFonts w:eastAsia="仿宋_GB2312"/>
          <w:color w:val="auto"/>
          <w:sz w:val="24"/>
          <w:highlight w:val="none"/>
        </w:rPr>
        <w:t>、违约责任</w:t>
      </w:r>
      <w:bookmarkEnd w:id="6"/>
    </w:p>
    <w:p>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1、按《中华人民共和国民法典》中的相关条款执行。</w:t>
      </w:r>
    </w:p>
    <w:p>
      <w:pPr>
        <w:adjustRightInd w:val="0"/>
        <w:snapToGrid w:val="0"/>
        <w:spacing w:line="360" w:lineRule="auto"/>
        <w:ind w:firstLine="480" w:firstLineChars="200"/>
        <w:rPr>
          <w:rFonts w:hint="eastAsia" w:eastAsia="仿宋_GB2312"/>
          <w:color w:val="auto"/>
          <w:sz w:val="24"/>
          <w:highlight w:val="none"/>
        </w:rPr>
      </w:pPr>
      <w:r>
        <w:rPr>
          <w:rFonts w:hint="eastAsia" w:eastAsia="仿宋_GB2312"/>
          <w:color w:val="auto"/>
          <w:sz w:val="24"/>
          <w:highlight w:val="none"/>
          <w:lang w:val="en-US" w:eastAsia="zh-CN"/>
        </w:rPr>
        <w:t>2、</w:t>
      </w:r>
      <w:r>
        <w:rPr>
          <w:rFonts w:hint="eastAsia" w:eastAsia="仿宋_GB2312"/>
          <w:color w:val="auto"/>
          <w:sz w:val="24"/>
          <w:highlight w:val="none"/>
        </w:rPr>
        <w:t xml:space="preserve">双方均应认真履行本合同，由于任何一方的过错使本合同不能履行、不能完全履行、延迟履行或者履行不符合约定条件的，由过错方承担责任，如属双方过错，则根据各自过错大小，分别承担相应的责任。 任何一方违背本合同约定，违约方除承担违约责任、赔偿对方损失（包含但不限于项目本身损失费、律师费、诉讼费、保全费、鉴定费、差旅费等）、承担本合同约定的相应违约金外，还应按本合同明示的合同总价的5%向对方支付违约金。 </w:t>
      </w:r>
    </w:p>
    <w:p>
      <w:pPr>
        <w:adjustRightInd w:val="0"/>
        <w:snapToGrid w:val="0"/>
        <w:spacing w:line="360" w:lineRule="auto"/>
        <w:ind w:firstLine="480" w:firstLineChars="200"/>
        <w:rPr>
          <w:rFonts w:hint="eastAsia" w:eastAsia="仿宋_GB2312"/>
          <w:color w:val="auto"/>
          <w:sz w:val="24"/>
          <w:highlight w:val="none"/>
        </w:rPr>
      </w:pPr>
      <w:r>
        <w:rPr>
          <w:rFonts w:hint="eastAsia" w:eastAsia="仿宋_GB2312"/>
          <w:color w:val="auto"/>
          <w:sz w:val="24"/>
          <w:highlight w:val="none"/>
          <w:lang w:val="en-US" w:eastAsia="zh-CN"/>
        </w:rPr>
        <w:t>3、</w:t>
      </w:r>
      <w:r>
        <w:rPr>
          <w:rFonts w:hint="eastAsia" w:eastAsia="仿宋_GB2312"/>
          <w:color w:val="auto"/>
          <w:sz w:val="24"/>
          <w:highlight w:val="none"/>
        </w:rPr>
        <w:t xml:space="preserve">因乙方原因无法实际履行合同，致使合同目的无法实现的，甲方有权解除本合同，合同自书面解除通知送达乙方之日起解除，此外，乙方应根据甲方实际损失部分或全部向甲方返还已收取的费用，并按照已付金额的30%向甲方支付违约金，违约金不足以赔偿甲方损失的，由乙方负责补足。 </w:t>
      </w:r>
    </w:p>
    <w:p>
      <w:pPr>
        <w:adjustRightInd w:val="0"/>
        <w:snapToGrid w:val="0"/>
        <w:spacing w:line="360" w:lineRule="auto"/>
        <w:ind w:firstLine="480" w:firstLineChars="200"/>
        <w:rPr>
          <w:rFonts w:hint="eastAsia" w:eastAsia="仿宋_GB2312"/>
          <w:color w:val="auto"/>
          <w:sz w:val="24"/>
          <w:highlight w:val="none"/>
        </w:rPr>
      </w:pPr>
      <w:r>
        <w:rPr>
          <w:rFonts w:hint="eastAsia" w:eastAsia="仿宋_GB2312"/>
          <w:color w:val="auto"/>
          <w:sz w:val="24"/>
          <w:highlight w:val="none"/>
          <w:lang w:val="en-US" w:eastAsia="zh-CN"/>
        </w:rPr>
        <w:t>4、</w:t>
      </w:r>
      <w:r>
        <w:rPr>
          <w:rFonts w:hint="eastAsia" w:eastAsia="仿宋_GB2312"/>
          <w:color w:val="auto"/>
          <w:sz w:val="24"/>
          <w:highlight w:val="none"/>
        </w:rPr>
        <w:t xml:space="preserve">乙方每出现有效投诉（投诉认定为乙方全责）1次，扣除已结算总金额的1% </w:t>
      </w:r>
    </w:p>
    <w:p>
      <w:pPr>
        <w:adjustRightInd w:val="0"/>
        <w:snapToGrid w:val="0"/>
        <w:spacing w:line="360" w:lineRule="auto"/>
        <w:ind w:firstLine="480" w:firstLineChars="200"/>
        <w:rPr>
          <w:rFonts w:hint="eastAsia" w:eastAsia="仿宋_GB2312"/>
          <w:color w:val="auto"/>
          <w:sz w:val="24"/>
          <w:highlight w:val="none"/>
        </w:rPr>
      </w:pPr>
      <w:r>
        <w:rPr>
          <w:rFonts w:hint="eastAsia" w:eastAsia="仿宋_GB2312"/>
          <w:color w:val="auto"/>
          <w:sz w:val="24"/>
          <w:highlight w:val="none"/>
          <w:lang w:val="en-US" w:eastAsia="zh-CN"/>
        </w:rPr>
        <w:t>5、</w:t>
      </w:r>
      <w:r>
        <w:rPr>
          <w:rFonts w:hint="eastAsia" w:eastAsia="仿宋_GB2312"/>
          <w:color w:val="auto"/>
          <w:sz w:val="24"/>
          <w:highlight w:val="none"/>
        </w:rPr>
        <w:t>由于服务质量、服务态度或其他原因给甲方造成负面影响则酌情扣除已结算总金额的1—5%</w:t>
      </w:r>
      <w:r>
        <w:rPr>
          <w:rFonts w:hint="eastAsia" w:eastAsia="仿宋_GB2312"/>
          <w:color w:val="auto"/>
          <w:sz w:val="24"/>
          <w:highlight w:val="none"/>
          <w:lang w:eastAsia="zh-CN"/>
        </w:rPr>
        <w:t>。</w:t>
      </w:r>
      <w:r>
        <w:rPr>
          <w:rFonts w:hint="eastAsia" w:eastAsia="仿宋_GB2312"/>
          <w:color w:val="auto"/>
          <w:sz w:val="24"/>
          <w:highlight w:val="none"/>
        </w:rPr>
        <w:t xml:space="preserve"> </w:t>
      </w:r>
    </w:p>
    <w:p>
      <w:pPr>
        <w:adjustRightInd w:val="0"/>
        <w:snapToGrid w:val="0"/>
        <w:spacing w:line="360" w:lineRule="auto"/>
        <w:ind w:firstLine="480" w:firstLineChars="200"/>
        <w:rPr>
          <w:rFonts w:hint="eastAsia" w:eastAsia="仿宋_GB2312"/>
          <w:color w:val="auto"/>
          <w:sz w:val="24"/>
          <w:highlight w:val="none"/>
        </w:rPr>
      </w:pPr>
      <w:r>
        <w:rPr>
          <w:rFonts w:hint="eastAsia" w:eastAsia="仿宋_GB2312"/>
          <w:color w:val="auto"/>
          <w:sz w:val="24"/>
          <w:highlight w:val="none"/>
          <w:lang w:val="en-US" w:eastAsia="zh-CN"/>
        </w:rPr>
        <w:t>6、</w:t>
      </w:r>
      <w:r>
        <w:rPr>
          <w:rFonts w:hint="eastAsia" w:eastAsia="仿宋_GB2312"/>
          <w:color w:val="auto"/>
          <w:sz w:val="24"/>
          <w:highlight w:val="none"/>
        </w:rPr>
        <w:t>由于乙方原因导致在本合同约定</w:t>
      </w:r>
      <w:r>
        <w:rPr>
          <w:rFonts w:hint="eastAsia" w:eastAsia="仿宋_GB2312"/>
          <w:color w:val="auto"/>
          <w:sz w:val="24"/>
          <w:highlight w:val="none"/>
          <w:lang w:eastAsia="zh-CN"/>
        </w:rPr>
        <w:t>或甲方规定</w:t>
      </w:r>
      <w:r>
        <w:rPr>
          <w:rFonts w:hint="eastAsia" w:eastAsia="仿宋_GB2312"/>
          <w:color w:val="auto"/>
          <w:sz w:val="24"/>
          <w:highlight w:val="none"/>
        </w:rPr>
        <w:t xml:space="preserve">的服务期内不能完成任务的，每延误1天，应按合同总价款的2‰向甲方支付违约金，延误超过7日历天的，甲方有权单方解除本合同，乙方应向甲方支付合同总价10%的违约金。 </w:t>
      </w:r>
    </w:p>
    <w:p>
      <w:pPr>
        <w:adjustRightInd w:val="0"/>
        <w:snapToGrid w:val="0"/>
        <w:spacing w:line="360" w:lineRule="auto"/>
        <w:ind w:firstLine="480" w:firstLineChars="200"/>
        <w:rPr>
          <w:rFonts w:hint="eastAsia" w:eastAsia="仿宋_GB2312"/>
          <w:color w:val="auto"/>
          <w:sz w:val="24"/>
          <w:highlight w:val="none"/>
        </w:rPr>
      </w:pPr>
      <w:r>
        <w:rPr>
          <w:rFonts w:hint="eastAsia" w:eastAsia="仿宋_GB2312"/>
          <w:color w:val="auto"/>
          <w:sz w:val="24"/>
          <w:highlight w:val="none"/>
          <w:lang w:val="en-US" w:eastAsia="zh-CN"/>
        </w:rPr>
        <w:t>7、</w:t>
      </w:r>
      <w:r>
        <w:rPr>
          <w:rFonts w:hint="eastAsia" w:eastAsia="仿宋_GB2312"/>
          <w:color w:val="auto"/>
          <w:sz w:val="24"/>
          <w:highlight w:val="none"/>
        </w:rPr>
        <w:t xml:space="preserve">乙方工作不能达到合同约定或甲方提出的要求，甲方提出意见，乙方不能按时、按质整改的，甲方有权解除合同，乙方应向甲方支付合同总价10%的违约金。 </w:t>
      </w:r>
    </w:p>
    <w:p>
      <w:pPr>
        <w:adjustRightInd w:val="0"/>
        <w:snapToGrid w:val="0"/>
        <w:spacing w:line="360" w:lineRule="auto"/>
        <w:ind w:firstLine="480" w:firstLineChars="200"/>
        <w:rPr>
          <w:rFonts w:hint="eastAsia" w:eastAsia="仿宋_GB2312"/>
          <w:color w:val="auto"/>
          <w:sz w:val="24"/>
          <w:highlight w:val="none"/>
        </w:rPr>
      </w:pPr>
      <w:r>
        <w:rPr>
          <w:rFonts w:hint="eastAsia" w:eastAsia="仿宋_GB2312"/>
          <w:color w:val="auto"/>
          <w:sz w:val="24"/>
          <w:highlight w:val="none"/>
          <w:lang w:val="en-US" w:eastAsia="zh-CN"/>
        </w:rPr>
        <w:t>8、</w:t>
      </w:r>
      <w:r>
        <w:rPr>
          <w:rFonts w:hint="eastAsia" w:eastAsia="仿宋_GB2312"/>
          <w:color w:val="auto"/>
          <w:sz w:val="24"/>
          <w:highlight w:val="none"/>
        </w:rPr>
        <w:t xml:space="preserve">合同一方违约的，双方应积极采取适当措施阻止损失扩大，否则不得就扩大部分的损失要求赔偿；违约方应当承担对方为阻止损失扩大而支付的合理费用。 </w:t>
      </w:r>
    </w:p>
    <w:p>
      <w:pPr>
        <w:adjustRightInd w:val="0"/>
        <w:snapToGrid w:val="0"/>
        <w:spacing w:line="360" w:lineRule="auto"/>
        <w:ind w:firstLine="480" w:firstLineChars="200"/>
        <w:rPr>
          <w:rFonts w:hint="eastAsia" w:eastAsia="仿宋_GB2312"/>
          <w:color w:val="auto"/>
          <w:sz w:val="24"/>
          <w:highlight w:val="none"/>
        </w:rPr>
      </w:pPr>
      <w:r>
        <w:rPr>
          <w:rFonts w:hint="eastAsia" w:eastAsia="仿宋_GB2312"/>
          <w:color w:val="auto"/>
          <w:sz w:val="24"/>
          <w:highlight w:val="none"/>
          <w:lang w:val="en-US" w:eastAsia="zh-CN"/>
        </w:rPr>
        <w:t>9、</w:t>
      </w:r>
      <w:r>
        <w:rPr>
          <w:rFonts w:hint="eastAsia" w:eastAsia="仿宋_GB2312"/>
          <w:color w:val="auto"/>
          <w:sz w:val="24"/>
          <w:highlight w:val="none"/>
        </w:rPr>
        <w:t xml:space="preserve">政府政策重大变化、不可抗力以及其他无法归究于双方的原因造成的损失，依照有关法规和公平原则双方协商解决。 </w:t>
      </w:r>
    </w:p>
    <w:p>
      <w:pPr>
        <w:adjustRightInd w:val="0"/>
        <w:snapToGrid w:val="0"/>
        <w:spacing w:line="360" w:lineRule="auto"/>
        <w:ind w:firstLine="480" w:firstLineChars="200"/>
        <w:rPr>
          <w:rFonts w:eastAsia="仿宋_GB2312"/>
          <w:color w:val="auto"/>
          <w:sz w:val="24"/>
          <w:highlight w:val="none"/>
        </w:rPr>
      </w:pPr>
      <w:r>
        <w:rPr>
          <w:rFonts w:hint="eastAsia" w:eastAsia="仿宋_GB2312"/>
          <w:color w:val="auto"/>
          <w:sz w:val="24"/>
          <w:highlight w:val="none"/>
          <w:lang w:val="en-US" w:eastAsia="zh-CN"/>
        </w:rPr>
        <w:t>10、</w:t>
      </w:r>
      <w:r>
        <w:rPr>
          <w:rFonts w:hint="eastAsia" w:eastAsia="仿宋_GB2312"/>
          <w:color w:val="auto"/>
          <w:sz w:val="24"/>
          <w:highlight w:val="none"/>
        </w:rPr>
        <w:t>乙方违反保密义务给甲方造成损失的，赔偿甲方因此造成的全部损失。</w:t>
      </w:r>
    </w:p>
    <w:p>
      <w:pPr>
        <w:adjustRightInd w:val="0"/>
        <w:snapToGrid w:val="0"/>
        <w:spacing w:line="360" w:lineRule="auto"/>
        <w:ind w:firstLine="480" w:firstLineChars="200"/>
        <w:rPr>
          <w:rFonts w:eastAsia="仿宋_GB2312"/>
          <w:color w:val="auto"/>
          <w:sz w:val="24"/>
          <w:highlight w:val="none"/>
        </w:rPr>
      </w:pPr>
      <w:bookmarkStart w:id="7" w:name="_Toc19515393"/>
      <w:r>
        <w:rPr>
          <w:rFonts w:hint="eastAsia" w:eastAsia="仿宋_GB2312"/>
          <w:color w:val="auto"/>
          <w:sz w:val="24"/>
          <w:highlight w:val="none"/>
          <w:lang w:val="en-US" w:eastAsia="zh-CN"/>
        </w:rPr>
        <w:t>八</w:t>
      </w:r>
      <w:r>
        <w:rPr>
          <w:rFonts w:eastAsia="仿宋_GB2312"/>
          <w:color w:val="auto"/>
          <w:sz w:val="24"/>
          <w:highlight w:val="none"/>
        </w:rPr>
        <w:t>、合同组成</w:t>
      </w:r>
      <w:bookmarkEnd w:id="7"/>
    </w:p>
    <w:p>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1、合同文件</w:t>
      </w:r>
    </w:p>
    <w:p>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2、</w:t>
      </w:r>
      <w:r>
        <w:rPr>
          <w:rFonts w:hint="eastAsia" w:eastAsia="仿宋_GB2312"/>
          <w:color w:val="auto"/>
          <w:sz w:val="24"/>
          <w:highlight w:val="none"/>
          <w:lang w:eastAsia="zh-CN"/>
        </w:rPr>
        <w:t>中标</w:t>
      </w:r>
      <w:r>
        <w:rPr>
          <w:rFonts w:eastAsia="仿宋_GB2312"/>
          <w:color w:val="auto"/>
          <w:sz w:val="24"/>
          <w:highlight w:val="none"/>
        </w:rPr>
        <w:t>通知书</w:t>
      </w:r>
    </w:p>
    <w:p>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3、国家相关规范及标准</w:t>
      </w:r>
    </w:p>
    <w:p>
      <w:pPr>
        <w:adjustRightInd w:val="0"/>
        <w:snapToGrid w:val="0"/>
        <w:spacing w:line="360" w:lineRule="auto"/>
        <w:ind w:firstLine="480" w:firstLineChars="200"/>
        <w:rPr>
          <w:rFonts w:hint="eastAsia" w:eastAsia="仿宋_GB2312"/>
          <w:color w:val="auto"/>
          <w:sz w:val="24"/>
          <w:highlight w:val="none"/>
          <w:lang w:eastAsia="zh-CN"/>
        </w:rPr>
      </w:pPr>
      <w:r>
        <w:rPr>
          <w:rFonts w:eastAsia="仿宋_GB2312"/>
          <w:color w:val="auto"/>
          <w:sz w:val="24"/>
          <w:highlight w:val="none"/>
        </w:rPr>
        <w:t>4、</w:t>
      </w:r>
      <w:r>
        <w:rPr>
          <w:rFonts w:hint="eastAsia" w:eastAsia="仿宋_GB2312"/>
          <w:color w:val="auto"/>
          <w:sz w:val="24"/>
          <w:highlight w:val="none"/>
          <w:lang w:eastAsia="zh-CN"/>
        </w:rPr>
        <w:t>招标文件</w:t>
      </w:r>
    </w:p>
    <w:p>
      <w:pPr>
        <w:adjustRightInd w:val="0"/>
        <w:snapToGrid w:val="0"/>
        <w:spacing w:line="360" w:lineRule="auto"/>
        <w:ind w:firstLine="480" w:firstLineChars="200"/>
        <w:rPr>
          <w:rFonts w:hint="eastAsia" w:eastAsia="仿宋_GB2312"/>
          <w:color w:val="auto"/>
          <w:sz w:val="24"/>
          <w:highlight w:val="none"/>
          <w:lang w:eastAsia="zh-CN"/>
        </w:rPr>
      </w:pPr>
      <w:r>
        <w:rPr>
          <w:rFonts w:eastAsia="仿宋_GB2312"/>
          <w:color w:val="auto"/>
          <w:sz w:val="24"/>
          <w:highlight w:val="none"/>
        </w:rPr>
        <w:t>5、</w:t>
      </w:r>
      <w:r>
        <w:rPr>
          <w:rFonts w:hint="eastAsia" w:eastAsia="仿宋_GB2312"/>
          <w:color w:val="auto"/>
          <w:sz w:val="24"/>
          <w:highlight w:val="none"/>
          <w:lang w:eastAsia="zh-CN"/>
        </w:rPr>
        <w:t>投标文件</w:t>
      </w:r>
    </w:p>
    <w:p>
      <w:pPr>
        <w:adjustRightInd w:val="0"/>
        <w:snapToGrid w:val="0"/>
        <w:spacing w:line="360" w:lineRule="auto"/>
        <w:ind w:firstLine="480" w:firstLineChars="200"/>
        <w:rPr>
          <w:rFonts w:eastAsia="仿宋_GB2312"/>
          <w:color w:val="auto"/>
          <w:sz w:val="24"/>
          <w:highlight w:val="none"/>
        </w:rPr>
      </w:pPr>
      <w:bookmarkStart w:id="8" w:name="_Toc19515394"/>
      <w:r>
        <w:rPr>
          <w:rFonts w:hint="eastAsia" w:eastAsia="仿宋_GB2312"/>
          <w:color w:val="auto"/>
          <w:sz w:val="24"/>
          <w:highlight w:val="none"/>
          <w:lang w:val="en-US" w:eastAsia="zh-CN"/>
        </w:rPr>
        <w:t>九</w:t>
      </w:r>
      <w:r>
        <w:rPr>
          <w:rFonts w:eastAsia="仿宋_GB2312"/>
          <w:color w:val="auto"/>
          <w:sz w:val="24"/>
          <w:highlight w:val="none"/>
        </w:rPr>
        <w:t>、解决争议的方法</w:t>
      </w:r>
      <w:bookmarkEnd w:id="8"/>
    </w:p>
    <w:p>
      <w:pPr>
        <w:widowControl/>
        <w:autoSpaceDE w:val="0"/>
        <w:autoSpaceDN w:val="0"/>
        <w:snapToGrid w:val="0"/>
        <w:spacing w:line="360" w:lineRule="auto"/>
        <w:ind w:right="-110" w:firstLine="480" w:firstLineChars="200"/>
        <w:textAlignment w:val="bottom"/>
        <w:rPr>
          <w:rFonts w:eastAsia="仿宋_GB2312"/>
          <w:color w:val="auto"/>
          <w:kern w:val="0"/>
          <w:sz w:val="24"/>
          <w:highlight w:val="none"/>
        </w:rPr>
      </w:pPr>
      <w:r>
        <w:rPr>
          <w:rFonts w:eastAsia="仿宋_GB2312"/>
          <w:color w:val="auto"/>
          <w:kern w:val="0"/>
          <w:sz w:val="24"/>
          <w:highlight w:val="none"/>
        </w:rPr>
        <w:t>凡因本合同引起的或与本合同有关的争议，双方应友好协商解决。协商不成时，双方均同意采用以下第（  ）种争议解决方式：</w:t>
      </w:r>
    </w:p>
    <w:p>
      <w:pPr>
        <w:widowControl/>
        <w:autoSpaceDE w:val="0"/>
        <w:autoSpaceDN w:val="0"/>
        <w:snapToGrid w:val="0"/>
        <w:spacing w:line="360" w:lineRule="auto"/>
        <w:ind w:right="-110" w:firstLine="480" w:firstLineChars="200"/>
        <w:textAlignment w:val="bottom"/>
        <w:rPr>
          <w:rFonts w:eastAsia="仿宋_GB2312"/>
          <w:color w:val="auto"/>
          <w:kern w:val="0"/>
          <w:sz w:val="24"/>
          <w:highlight w:val="none"/>
        </w:rPr>
      </w:pPr>
      <w:r>
        <w:rPr>
          <w:rFonts w:hint="eastAsia" w:eastAsia="仿宋_GB2312"/>
          <w:color w:val="auto"/>
          <w:kern w:val="0"/>
          <w:sz w:val="24"/>
          <w:highlight w:val="none"/>
        </w:rPr>
        <w:t>1</w:t>
      </w:r>
      <w:r>
        <w:rPr>
          <w:rFonts w:eastAsia="仿宋_GB2312"/>
          <w:color w:val="auto"/>
          <w:kern w:val="0"/>
          <w:sz w:val="24"/>
          <w:highlight w:val="none"/>
        </w:rPr>
        <w:t>、甲、乙双方均同意向（甲方所在地人民法院）提起诉讼。</w:t>
      </w:r>
    </w:p>
    <w:p>
      <w:pPr>
        <w:widowControl/>
        <w:autoSpaceDE w:val="0"/>
        <w:autoSpaceDN w:val="0"/>
        <w:snapToGrid w:val="0"/>
        <w:spacing w:line="360" w:lineRule="auto"/>
        <w:ind w:right="-110" w:firstLine="480" w:firstLineChars="200"/>
        <w:textAlignment w:val="bottom"/>
        <w:rPr>
          <w:rFonts w:eastAsia="仿宋_GB2312"/>
          <w:color w:val="auto"/>
          <w:kern w:val="0"/>
          <w:sz w:val="24"/>
          <w:highlight w:val="none"/>
        </w:rPr>
      </w:pPr>
      <w:r>
        <w:rPr>
          <w:rFonts w:hint="eastAsia" w:eastAsia="仿宋_GB2312"/>
          <w:color w:val="auto"/>
          <w:kern w:val="0"/>
          <w:sz w:val="24"/>
          <w:highlight w:val="none"/>
        </w:rPr>
        <w:t>2</w:t>
      </w:r>
      <w:r>
        <w:rPr>
          <w:rFonts w:eastAsia="仿宋_GB2312"/>
          <w:color w:val="auto"/>
          <w:kern w:val="0"/>
          <w:sz w:val="24"/>
          <w:highlight w:val="none"/>
        </w:rPr>
        <w:t>、甲、乙双方均同意向（</w:t>
      </w:r>
      <w:r>
        <w:rPr>
          <w:color w:val="auto"/>
          <w:highlight w:val="none"/>
        </w:rPr>
        <w:fldChar w:fldCharType="begin"/>
      </w:r>
      <w:r>
        <w:rPr>
          <w:color w:val="auto"/>
          <w:highlight w:val="none"/>
        </w:rPr>
        <w:instrText xml:space="preserve"> HYPERLINK "http://www.baidu.com/s?wd=%E4%BB%B2%E8%A3%81%E5%A7%94%E5%91%98%E4%BC%9A&amp;tn=SE_PcZhidaonwhc_ngpagmjz&amp;rsv_dl=gh_pc_zhidao" \t "_blank" </w:instrText>
      </w:r>
      <w:r>
        <w:rPr>
          <w:color w:val="auto"/>
          <w:highlight w:val="none"/>
        </w:rPr>
        <w:fldChar w:fldCharType="separate"/>
      </w:r>
      <w:r>
        <w:rPr>
          <w:rFonts w:eastAsia="仿宋_GB2312"/>
          <w:color w:val="auto"/>
          <w:kern w:val="0"/>
          <w:sz w:val="24"/>
          <w:highlight w:val="none"/>
        </w:rPr>
        <w:t>仲裁委员会</w:t>
      </w:r>
      <w:r>
        <w:rPr>
          <w:rFonts w:eastAsia="仿宋_GB2312"/>
          <w:color w:val="auto"/>
          <w:kern w:val="0"/>
          <w:sz w:val="24"/>
          <w:highlight w:val="none"/>
        </w:rPr>
        <w:fldChar w:fldCharType="end"/>
      </w:r>
      <w:r>
        <w:rPr>
          <w:rFonts w:eastAsia="仿宋_GB2312"/>
          <w:color w:val="auto"/>
          <w:kern w:val="0"/>
          <w:sz w:val="24"/>
          <w:highlight w:val="none"/>
        </w:rPr>
        <w:t>）提起仲裁。</w:t>
      </w:r>
    </w:p>
    <w:p>
      <w:pPr>
        <w:adjustRightInd w:val="0"/>
        <w:snapToGrid w:val="0"/>
        <w:spacing w:line="360" w:lineRule="auto"/>
        <w:ind w:firstLine="480" w:firstLineChars="200"/>
        <w:rPr>
          <w:rFonts w:eastAsia="仿宋_GB2312"/>
          <w:color w:val="auto"/>
          <w:sz w:val="24"/>
          <w:highlight w:val="none"/>
        </w:rPr>
      </w:pPr>
      <w:bookmarkStart w:id="9" w:name="_Toc19515395"/>
      <w:r>
        <w:rPr>
          <w:rFonts w:eastAsia="仿宋_GB2312"/>
          <w:color w:val="auto"/>
          <w:sz w:val="24"/>
          <w:highlight w:val="none"/>
        </w:rPr>
        <w:t>十、合同生效及其</w:t>
      </w:r>
      <w:r>
        <w:rPr>
          <w:rFonts w:hint="eastAsia" w:eastAsia="仿宋_GB2312"/>
          <w:color w:val="auto"/>
          <w:sz w:val="24"/>
          <w:highlight w:val="none"/>
          <w:lang w:eastAsia="zh-CN"/>
        </w:rPr>
        <w:t>他</w:t>
      </w:r>
      <w:bookmarkEnd w:id="9"/>
    </w:p>
    <w:p>
      <w:pPr>
        <w:widowControl/>
        <w:autoSpaceDE w:val="0"/>
        <w:autoSpaceDN w:val="0"/>
        <w:snapToGrid w:val="0"/>
        <w:spacing w:line="360" w:lineRule="auto"/>
        <w:ind w:right="-110" w:firstLine="480" w:firstLineChars="200"/>
        <w:textAlignment w:val="bottom"/>
        <w:rPr>
          <w:rFonts w:eastAsia="仿宋_GB2312"/>
          <w:color w:val="auto"/>
          <w:kern w:val="0"/>
          <w:sz w:val="24"/>
          <w:highlight w:val="none"/>
        </w:rPr>
      </w:pPr>
      <w:r>
        <w:rPr>
          <w:rFonts w:eastAsia="仿宋_GB2312"/>
          <w:color w:val="auto"/>
          <w:kern w:val="0"/>
          <w:sz w:val="24"/>
          <w:highlight w:val="none"/>
        </w:rPr>
        <w:t>1、合同未尽事宜、由甲、乙双方协商，作为合同补充，与原合同具有同等法律效力。</w:t>
      </w:r>
    </w:p>
    <w:p>
      <w:pPr>
        <w:widowControl/>
        <w:tabs>
          <w:tab w:val="left" w:pos="8391"/>
        </w:tabs>
        <w:autoSpaceDE w:val="0"/>
        <w:autoSpaceDN w:val="0"/>
        <w:snapToGrid w:val="0"/>
        <w:spacing w:line="360" w:lineRule="auto"/>
        <w:ind w:right="-69" w:firstLine="480" w:firstLineChars="200"/>
        <w:textAlignment w:val="bottom"/>
        <w:rPr>
          <w:rFonts w:eastAsia="仿宋_GB2312"/>
          <w:color w:val="auto"/>
          <w:kern w:val="0"/>
          <w:sz w:val="24"/>
          <w:highlight w:val="none"/>
        </w:rPr>
      </w:pPr>
      <w:r>
        <w:rPr>
          <w:rFonts w:eastAsia="仿宋_GB2312"/>
          <w:color w:val="auto"/>
          <w:kern w:val="0"/>
          <w:sz w:val="24"/>
          <w:highlight w:val="none"/>
        </w:rPr>
        <w:t>2、 本合同正本一式</w:t>
      </w:r>
      <w:r>
        <w:rPr>
          <w:rFonts w:eastAsia="仿宋_GB2312"/>
          <w:color w:val="auto"/>
          <w:kern w:val="0"/>
          <w:sz w:val="24"/>
          <w:highlight w:val="none"/>
          <w:u w:val="single"/>
        </w:rPr>
        <w:t xml:space="preserve">  </w:t>
      </w:r>
      <w:r>
        <w:rPr>
          <w:rFonts w:eastAsia="仿宋_GB2312"/>
          <w:color w:val="auto"/>
          <w:kern w:val="0"/>
          <w:sz w:val="24"/>
          <w:highlight w:val="none"/>
        </w:rPr>
        <w:t>份，甲方、乙方双方分别执</w:t>
      </w:r>
      <w:r>
        <w:rPr>
          <w:rFonts w:eastAsia="仿宋_GB2312"/>
          <w:color w:val="auto"/>
          <w:kern w:val="0"/>
          <w:sz w:val="24"/>
          <w:highlight w:val="none"/>
          <w:u w:val="single"/>
        </w:rPr>
        <w:t xml:space="preserve">  </w:t>
      </w:r>
      <w:r>
        <w:rPr>
          <w:rFonts w:eastAsia="仿宋_GB2312"/>
          <w:color w:val="auto"/>
          <w:kern w:val="0"/>
          <w:sz w:val="24"/>
          <w:highlight w:val="none"/>
        </w:rPr>
        <w:t>份，</w:t>
      </w:r>
      <w:r>
        <w:rPr>
          <w:rFonts w:eastAsia="仿宋_GB2312"/>
          <w:color w:val="auto"/>
          <w:kern w:val="0"/>
          <w:sz w:val="24"/>
          <w:highlight w:val="none"/>
          <w:u w:val="single"/>
        </w:rPr>
        <w:t xml:space="preserve">       </w:t>
      </w:r>
      <w:r>
        <w:rPr>
          <w:rFonts w:eastAsia="仿宋_GB2312"/>
          <w:color w:val="auto"/>
          <w:kern w:val="0"/>
          <w:sz w:val="24"/>
          <w:highlight w:val="none"/>
        </w:rPr>
        <w:t>备案</w:t>
      </w:r>
      <w:r>
        <w:rPr>
          <w:rFonts w:eastAsia="仿宋_GB2312"/>
          <w:color w:val="auto"/>
          <w:kern w:val="0"/>
          <w:sz w:val="24"/>
          <w:highlight w:val="none"/>
          <w:u w:val="single"/>
        </w:rPr>
        <w:t xml:space="preserve">  </w:t>
      </w:r>
      <w:r>
        <w:rPr>
          <w:rFonts w:eastAsia="仿宋_GB2312"/>
          <w:color w:val="auto"/>
          <w:kern w:val="0"/>
          <w:sz w:val="24"/>
          <w:highlight w:val="none"/>
        </w:rPr>
        <w:t>份。</w:t>
      </w:r>
    </w:p>
    <w:p>
      <w:pPr>
        <w:widowControl/>
        <w:tabs>
          <w:tab w:val="left" w:pos="8391"/>
        </w:tabs>
        <w:autoSpaceDE w:val="0"/>
        <w:autoSpaceDN w:val="0"/>
        <w:snapToGrid w:val="0"/>
        <w:spacing w:line="360" w:lineRule="auto"/>
        <w:ind w:right="-69" w:firstLine="480" w:firstLineChars="200"/>
        <w:textAlignment w:val="bottom"/>
        <w:rPr>
          <w:rFonts w:eastAsia="仿宋_GB2312"/>
          <w:color w:val="auto"/>
          <w:kern w:val="0"/>
          <w:sz w:val="24"/>
          <w:highlight w:val="none"/>
        </w:rPr>
      </w:pPr>
      <w:r>
        <w:rPr>
          <w:rFonts w:eastAsia="仿宋_GB2312"/>
          <w:color w:val="auto"/>
          <w:kern w:val="0"/>
          <w:sz w:val="24"/>
          <w:highlight w:val="none"/>
        </w:rPr>
        <w:t>3、合同经甲乙双方盖章、签字后生效，合同签订地点为</w:t>
      </w:r>
      <w:r>
        <w:rPr>
          <w:rFonts w:eastAsia="仿宋_GB2312"/>
          <w:color w:val="auto"/>
          <w:kern w:val="0"/>
          <w:sz w:val="24"/>
          <w:highlight w:val="none"/>
          <w:u w:val="single"/>
        </w:rPr>
        <w:t xml:space="preserve">   </w:t>
      </w:r>
      <w:r>
        <w:rPr>
          <w:rFonts w:eastAsia="仿宋_GB2312"/>
          <w:color w:val="auto"/>
          <w:kern w:val="0"/>
          <w:sz w:val="24"/>
          <w:highlight w:val="none"/>
        </w:rPr>
        <w:t>。</w:t>
      </w:r>
    </w:p>
    <w:p>
      <w:pPr>
        <w:widowControl/>
        <w:tabs>
          <w:tab w:val="left" w:pos="8391"/>
        </w:tabs>
        <w:autoSpaceDE w:val="0"/>
        <w:autoSpaceDN w:val="0"/>
        <w:snapToGrid w:val="0"/>
        <w:spacing w:line="360" w:lineRule="auto"/>
        <w:ind w:right="-69" w:firstLine="480" w:firstLineChars="200"/>
        <w:textAlignment w:val="bottom"/>
        <w:rPr>
          <w:rFonts w:eastAsia="仿宋_GB2312"/>
          <w:color w:val="auto"/>
          <w:kern w:val="0"/>
          <w:sz w:val="24"/>
          <w:highlight w:val="none"/>
        </w:rPr>
      </w:pPr>
      <w:r>
        <w:rPr>
          <w:rFonts w:eastAsia="仿宋_GB2312"/>
          <w:color w:val="auto"/>
          <w:kern w:val="0"/>
          <w:sz w:val="24"/>
          <w:highlight w:val="none"/>
        </w:rPr>
        <w:t>4、生效时间：</w:t>
      </w:r>
      <w:r>
        <w:rPr>
          <w:rFonts w:eastAsia="仿宋_GB2312"/>
          <w:color w:val="auto"/>
          <w:kern w:val="0"/>
          <w:sz w:val="24"/>
          <w:highlight w:val="none"/>
          <w:u w:val="single"/>
        </w:rPr>
        <w:t xml:space="preserve">   </w:t>
      </w:r>
      <w:r>
        <w:rPr>
          <w:rFonts w:eastAsia="仿宋_GB2312"/>
          <w:color w:val="auto"/>
          <w:kern w:val="0"/>
          <w:sz w:val="24"/>
          <w:highlight w:val="none"/>
        </w:rPr>
        <w:t>年</w:t>
      </w:r>
      <w:r>
        <w:rPr>
          <w:rFonts w:eastAsia="仿宋_GB2312"/>
          <w:color w:val="auto"/>
          <w:kern w:val="0"/>
          <w:sz w:val="24"/>
          <w:highlight w:val="none"/>
          <w:u w:val="single"/>
        </w:rPr>
        <w:t xml:space="preserve">  </w:t>
      </w:r>
      <w:r>
        <w:rPr>
          <w:rFonts w:eastAsia="仿宋_GB2312"/>
          <w:color w:val="auto"/>
          <w:kern w:val="0"/>
          <w:sz w:val="24"/>
          <w:highlight w:val="none"/>
        </w:rPr>
        <w:t>月</w:t>
      </w:r>
      <w:r>
        <w:rPr>
          <w:rFonts w:eastAsia="仿宋_GB2312"/>
          <w:color w:val="auto"/>
          <w:kern w:val="0"/>
          <w:sz w:val="24"/>
          <w:highlight w:val="none"/>
          <w:u w:val="single"/>
        </w:rPr>
        <w:t xml:space="preserve">  </w:t>
      </w:r>
      <w:r>
        <w:rPr>
          <w:rFonts w:eastAsia="仿宋_GB2312"/>
          <w:color w:val="auto"/>
          <w:kern w:val="0"/>
          <w:sz w:val="24"/>
          <w:highlight w:val="none"/>
        </w:rPr>
        <w:t>日</w:t>
      </w:r>
    </w:p>
    <w:p>
      <w:pPr>
        <w:widowControl/>
        <w:tabs>
          <w:tab w:val="left" w:pos="8391"/>
        </w:tabs>
        <w:autoSpaceDE w:val="0"/>
        <w:autoSpaceDN w:val="0"/>
        <w:snapToGrid w:val="0"/>
        <w:spacing w:line="360" w:lineRule="auto"/>
        <w:ind w:right="-69" w:firstLine="840" w:firstLineChars="350"/>
        <w:textAlignment w:val="bottom"/>
        <w:rPr>
          <w:rFonts w:eastAsia="仿宋_GB2312"/>
          <w:color w:val="auto"/>
          <w:kern w:val="0"/>
          <w:sz w:val="24"/>
          <w:highlight w:val="none"/>
        </w:rPr>
      </w:pPr>
    </w:p>
    <w:tbl>
      <w:tblPr>
        <w:tblStyle w:val="4"/>
        <w:tblW w:w="0" w:type="auto"/>
        <w:jc w:val="center"/>
        <w:tblLayout w:type="fixed"/>
        <w:tblCellMar>
          <w:top w:w="0" w:type="dxa"/>
          <w:left w:w="108" w:type="dxa"/>
          <w:bottom w:w="0" w:type="dxa"/>
          <w:right w:w="108" w:type="dxa"/>
        </w:tblCellMar>
      </w:tblPr>
      <w:tblGrid>
        <w:gridCol w:w="4643"/>
        <w:gridCol w:w="4643"/>
      </w:tblGrid>
      <w:tr>
        <w:tblPrEx>
          <w:tblCellMar>
            <w:top w:w="0" w:type="dxa"/>
            <w:left w:w="108" w:type="dxa"/>
            <w:bottom w:w="0" w:type="dxa"/>
            <w:right w:w="108" w:type="dxa"/>
          </w:tblCellMar>
        </w:tblPrEx>
        <w:trPr>
          <w:jc w:val="center"/>
        </w:trPr>
        <w:tc>
          <w:tcPr>
            <w:tcW w:w="4643" w:type="dxa"/>
            <w:noWrap w:val="0"/>
            <w:vAlign w:val="top"/>
          </w:tcPr>
          <w:p>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甲方名称</w:t>
            </w:r>
            <w:r>
              <w:rPr>
                <w:rFonts w:eastAsia="仿宋_GB2312"/>
                <w:color w:val="auto"/>
                <w:spacing w:val="-20"/>
                <w:kern w:val="0"/>
                <w:sz w:val="24"/>
                <w:highlight w:val="none"/>
              </w:rPr>
              <w:t>（盖章）</w:t>
            </w:r>
            <w:r>
              <w:rPr>
                <w:rFonts w:hint="eastAsia" w:eastAsia="仿宋_GB2312"/>
                <w:color w:val="auto"/>
                <w:kern w:val="0"/>
                <w:sz w:val="24"/>
                <w:highlight w:val="none"/>
              </w:rPr>
              <w:t>：</w:t>
            </w:r>
          </w:p>
          <w:p>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地址：</w:t>
            </w:r>
          </w:p>
          <w:p>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代表人（签字</w:t>
            </w:r>
            <w:r>
              <w:rPr>
                <w:rFonts w:hint="eastAsia" w:eastAsia="仿宋_GB2312"/>
                <w:color w:val="auto"/>
                <w:kern w:val="0"/>
                <w:sz w:val="24"/>
                <w:highlight w:val="none"/>
                <w:lang w:eastAsia="zh-CN"/>
              </w:rPr>
              <w:t>或盖章</w:t>
            </w:r>
            <w:r>
              <w:rPr>
                <w:rFonts w:eastAsia="仿宋_GB2312"/>
                <w:color w:val="auto"/>
                <w:kern w:val="0"/>
                <w:sz w:val="24"/>
                <w:highlight w:val="none"/>
              </w:rPr>
              <w:t>）：</w:t>
            </w:r>
          </w:p>
          <w:p>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电话：</w:t>
            </w:r>
          </w:p>
          <w:p>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开户银行：</w:t>
            </w:r>
          </w:p>
          <w:p>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账号：</w:t>
            </w:r>
          </w:p>
        </w:tc>
        <w:tc>
          <w:tcPr>
            <w:tcW w:w="4643" w:type="dxa"/>
            <w:noWrap w:val="0"/>
            <w:vAlign w:val="top"/>
          </w:tcPr>
          <w:p>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乙方名称</w:t>
            </w:r>
            <w:r>
              <w:rPr>
                <w:rFonts w:eastAsia="仿宋_GB2312"/>
                <w:color w:val="auto"/>
                <w:spacing w:val="-20"/>
                <w:kern w:val="0"/>
                <w:sz w:val="24"/>
                <w:highlight w:val="none"/>
              </w:rPr>
              <w:t>（盖章）</w:t>
            </w:r>
            <w:r>
              <w:rPr>
                <w:rFonts w:hint="eastAsia" w:eastAsia="仿宋_GB2312"/>
                <w:color w:val="auto"/>
                <w:kern w:val="0"/>
                <w:sz w:val="24"/>
                <w:highlight w:val="none"/>
              </w:rPr>
              <w:t>：</w:t>
            </w:r>
          </w:p>
          <w:p>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地址：</w:t>
            </w:r>
          </w:p>
          <w:p>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代表人（签字</w:t>
            </w:r>
            <w:r>
              <w:rPr>
                <w:rFonts w:hint="eastAsia" w:eastAsia="仿宋_GB2312"/>
                <w:color w:val="auto"/>
                <w:kern w:val="0"/>
                <w:sz w:val="24"/>
                <w:highlight w:val="none"/>
                <w:lang w:eastAsia="zh-CN"/>
              </w:rPr>
              <w:t>或盖章</w:t>
            </w:r>
            <w:r>
              <w:rPr>
                <w:rFonts w:eastAsia="仿宋_GB2312"/>
                <w:color w:val="auto"/>
                <w:kern w:val="0"/>
                <w:sz w:val="24"/>
                <w:highlight w:val="none"/>
              </w:rPr>
              <w:t>）：</w:t>
            </w:r>
          </w:p>
          <w:p>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电话：</w:t>
            </w:r>
          </w:p>
          <w:p>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开户银行：</w:t>
            </w:r>
          </w:p>
          <w:p>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账号：</w:t>
            </w:r>
          </w:p>
        </w:tc>
      </w:tr>
    </w:tbl>
    <w:p>
      <w:pPr>
        <w:autoSpaceDE w:val="0"/>
        <w:autoSpaceDN w:val="0"/>
        <w:adjustRightInd w:val="0"/>
        <w:spacing w:line="360" w:lineRule="auto"/>
        <w:jc w:val="left"/>
        <w:rPr>
          <w:rFonts w:ascii="仿宋_GB2312" w:hAnsi="仿宋_GB2312" w:eastAsia="仿宋_GB2312" w:cs="仿宋_GB2312"/>
          <w:b/>
          <w:bCs/>
          <w:color w:val="auto"/>
          <w:sz w:val="32"/>
          <w:szCs w:val="32"/>
          <w:highlight w:val="none"/>
        </w:rPr>
      </w:pPr>
    </w:p>
    <w:p>
      <w:pPr>
        <w:autoSpaceDE w:val="0"/>
        <w:autoSpaceDN w:val="0"/>
        <w:adjustRightInd w:val="0"/>
        <w:jc w:val="left"/>
        <w:rPr>
          <w:rFonts w:ascii="仿宋_GB2312" w:hAnsi="仿宋_GB2312" w:eastAsia="仿宋_GB2312" w:cs="仿宋_GB2312"/>
          <w:b/>
          <w:bCs/>
          <w:color w:val="auto"/>
          <w:sz w:val="32"/>
          <w:szCs w:val="32"/>
          <w:highlight w:val="none"/>
        </w:rPr>
      </w:pPr>
    </w:p>
    <w:p>
      <w:pPr>
        <w:pStyle w:val="2"/>
        <w:rPr>
          <w:rFonts w:ascii="Times New Roman" w:hAnsi="Times New Roman" w:eastAsia="仿宋_GB2312"/>
          <w:color w:val="auto"/>
          <w:highlight w:val="none"/>
        </w:rPr>
      </w:pPr>
    </w:p>
    <w:p>
      <w:pPr>
        <w:rPr>
          <w:rFonts w:eastAsia="仿宋_GB2312"/>
          <w:color w:val="auto"/>
          <w:sz w:val="24"/>
          <w:highlight w:val="none"/>
        </w:rPr>
      </w:pPr>
      <w:r>
        <w:rPr>
          <w:rFonts w:eastAsia="仿宋_GB2312"/>
          <w:color w:val="auto"/>
          <w:sz w:val="24"/>
          <w:highlight w:val="none"/>
        </w:rPr>
        <w:br w:type="page"/>
      </w:r>
    </w:p>
    <w:p>
      <w:pPr>
        <w:spacing w:line="360" w:lineRule="auto"/>
        <w:ind w:firstLine="480" w:firstLineChars="200"/>
        <w:rPr>
          <w:rFonts w:eastAsia="仿宋_GB2312"/>
          <w:color w:val="auto"/>
          <w:sz w:val="24"/>
          <w:highlight w:val="none"/>
        </w:rPr>
      </w:pPr>
      <w:r>
        <w:rPr>
          <w:rFonts w:eastAsia="仿宋_GB2312"/>
          <w:color w:val="auto"/>
          <w:sz w:val="24"/>
          <w:highlight w:val="none"/>
        </w:rPr>
        <w:t>合同附件1：</w:t>
      </w:r>
    </w:p>
    <w:tbl>
      <w:tblPr>
        <w:tblStyle w:val="4"/>
        <w:tblW w:w="5000" w:type="pct"/>
        <w:tblInd w:w="0" w:type="dxa"/>
        <w:tblLayout w:type="autofit"/>
        <w:tblCellMar>
          <w:top w:w="0" w:type="dxa"/>
          <w:left w:w="108" w:type="dxa"/>
          <w:bottom w:w="0" w:type="dxa"/>
          <w:right w:w="108" w:type="dxa"/>
        </w:tblCellMar>
      </w:tblPr>
      <w:tblGrid>
        <w:gridCol w:w="1571"/>
        <w:gridCol w:w="2299"/>
        <w:gridCol w:w="2524"/>
        <w:gridCol w:w="2128"/>
      </w:tblGrid>
      <w:tr>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pPr>
              <w:widowControl/>
              <w:jc w:val="center"/>
              <w:rPr>
                <w:rFonts w:eastAsia="仿宋_GB2312"/>
                <w:b/>
                <w:bCs/>
                <w:color w:val="auto"/>
                <w:kern w:val="0"/>
                <w:sz w:val="32"/>
                <w:szCs w:val="32"/>
                <w:highlight w:val="none"/>
              </w:rPr>
            </w:pPr>
            <w:r>
              <w:rPr>
                <w:rFonts w:eastAsia="仿宋_GB2312"/>
                <w:b/>
                <w:bCs/>
                <w:color w:val="auto"/>
                <w:kern w:val="0"/>
                <w:sz w:val="32"/>
                <w:szCs w:val="32"/>
                <w:highlight w:val="none"/>
              </w:rPr>
              <w:t>政府采购项目货物（服务）验收入库报告单</w:t>
            </w:r>
          </w:p>
        </w:tc>
      </w:tr>
      <w:tr>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pPr>
              <w:widowControl/>
              <w:jc w:val="center"/>
              <w:rPr>
                <w:rFonts w:eastAsia="仿宋_GB2312"/>
                <w:b/>
                <w:bCs/>
                <w:color w:val="auto"/>
                <w:kern w:val="0"/>
                <w:sz w:val="24"/>
                <w:highlight w:val="none"/>
              </w:rPr>
            </w:pPr>
            <w:r>
              <w:rPr>
                <w:rFonts w:eastAsia="仿宋_GB2312"/>
                <w:b/>
                <w:bCs/>
                <w:color w:val="auto"/>
                <w:kern w:val="0"/>
                <w:sz w:val="24"/>
                <w:highlight w:val="none"/>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pPr>
              <w:widowControl/>
              <w:jc w:val="center"/>
              <w:rPr>
                <w:rFonts w:eastAsia="仿宋_GB2312"/>
                <w:color w:val="auto"/>
                <w:kern w:val="0"/>
                <w:sz w:val="24"/>
                <w:highlight w:val="none"/>
              </w:rPr>
            </w:pPr>
            <w:r>
              <w:rPr>
                <w:rFonts w:eastAsia="仿宋_GB2312"/>
                <w:color w:val="auto"/>
                <w:kern w:val="0"/>
                <w:sz w:val="24"/>
                <w:highlight w:val="none"/>
              </w:rPr>
              <w:t>　</w:t>
            </w:r>
          </w:p>
        </w:tc>
      </w:tr>
      <w:tr>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pPr>
              <w:widowControl/>
              <w:jc w:val="center"/>
              <w:rPr>
                <w:rFonts w:eastAsia="仿宋_GB2312"/>
                <w:b/>
                <w:bCs/>
                <w:color w:val="auto"/>
                <w:kern w:val="0"/>
                <w:sz w:val="24"/>
                <w:highlight w:val="none"/>
              </w:rPr>
            </w:pPr>
            <w:r>
              <w:rPr>
                <w:rFonts w:eastAsia="仿宋_GB2312"/>
                <w:b/>
                <w:bCs/>
                <w:color w:val="auto"/>
                <w:kern w:val="0"/>
                <w:sz w:val="24"/>
                <w:highlight w:val="none"/>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pPr>
              <w:widowControl/>
              <w:jc w:val="center"/>
              <w:rPr>
                <w:rFonts w:eastAsia="仿宋_GB2312"/>
                <w:color w:val="auto"/>
                <w:kern w:val="0"/>
                <w:sz w:val="24"/>
                <w:highlight w:val="none"/>
              </w:rPr>
            </w:pPr>
            <w:r>
              <w:rPr>
                <w:rFonts w:eastAsia="仿宋_GB2312"/>
                <w:color w:val="auto"/>
                <w:kern w:val="0"/>
                <w:sz w:val="24"/>
                <w:highlight w:val="none"/>
              </w:rPr>
              <w:t>　</w:t>
            </w:r>
          </w:p>
        </w:tc>
      </w:tr>
      <w:tr>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pPr>
              <w:widowControl/>
              <w:jc w:val="center"/>
              <w:rPr>
                <w:rFonts w:eastAsia="仿宋_GB2312"/>
                <w:b/>
                <w:bCs/>
                <w:color w:val="auto"/>
                <w:kern w:val="0"/>
                <w:sz w:val="24"/>
                <w:highlight w:val="none"/>
              </w:rPr>
            </w:pPr>
            <w:r>
              <w:rPr>
                <w:rFonts w:eastAsia="仿宋_GB2312"/>
                <w:b/>
                <w:bCs/>
                <w:color w:val="auto"/>
                <w:kern w:val="0"/>
                <w:sz w:val="24"/>
                <w:highlight w:val="none"/>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pPr>
              <w:widowControl/>
              <w:jc w:val="center"/>
              <w:rPr>
                <w:rFonts w:eastAsia="仿宋_GB2312"/>
                <w:color w:val="auto"/>
                <w:kern w:val="0"/>
                <w:sz w:val="24"/>
                <w:highlight w:val="none"/>
              </w:rPr>
            </w:pPr>
            <w:r>
              <w:rPr>
                <w:rFonts w:eastAsia="仿宋_GB2312"/>
                <w:color w:val="auto"/>
                <w:kern w:val="0"/>
                <w:sz w:val="24"/>
                <w:highlight w:val="none"/>
              </w:rPr>
              <w:t>　</w:t>
            </w:r>
          </w:p>
        </w:tc>
        <w:tc>
          <w:tcPr>
            <w:tcW w:w="1481" w:type="pct"/>
            <w:tcBorders>
              <w:top w:val="nil"/>
              <w:left w:val="nil"/>
              <w:bottom w:val="single" w:color="auto" w:sz="4" w:space="0"/>
              <w:right w:val="single" w:color="auto" w:sz="4" w:space="0"/>
            </w:tcBorders>
            <w:noWrap/>
            <w:vAlign w:val="center"/>
          </w:tcPr>
          <w:p>
            <w:pPr>
              <w:widowControl/>
              <w:jc w:val="center"/>
              <w:rPr>
                <w:rFonts w:eastAsia="仿宋_GB2312"/>
                <w:b/>
                <w:bCs/>
                <w:color w:val="auto"/>
                <w:kern w:val="0"/>
                <w:sz w:val="24"/>
                <w:highlight w:val="none"/>
              </w:rPr>
            </w:pPr>
            <w:r>
              <w:rPr>
                <w:rFonts w:eastAsia="仿宋_GB2312"/>
                <w:b/>
                <w:bCs/>
                <w:color w:val="auto"/>
                <w:kern w:val="0"/>
                <w:sz w:val="24"/>
                <w:highlight w:val="none"/>
              </w:rPr>
              <w:t>合同金额</w:t>
            </w:r>
          </w:p>
        </w:tc>
        <w:tc>
          <w:tcPr>
            <w:tcW w:w="1248" w:type="pct"/>
            <w:tcBorders>
              <w:top w:val="nil"/>
              <w:left w:val="nil"/>
              <w:bottom w:val="single" w:color="auto" w:sz="4" w:space="0"/>
              <w:right w:val="single" w:color="auto" w:sz="8" w:space="0"/>
            </w:tcBorders>
            <w:noWrap/>
            <w:vAlign w:val="center"/>
          </w:tcPr>
          <w:p>
            <w:pPr>
              <w:widowControl/>
              <w:jc w:val="left"/>
              <w:rPr>
                <w:rFonts w:eastAsia="仿宋_GB2312"/>
                <w:b/>
                <w:bCs/>
                <w:color w:val="auto"/>
                <w:kern w:val="0"/>
                <w:sz w:val="24"/>
                <w:highlight w:val="none"/>
              </w:rPr>
            </w:pPr>
            <w:r>
              <w:rPr>
                <w:rFonts w:eastAsia="仿宋_GB2312"/>
                <w:b/>
                <w:bCs/>
                <w:color w:val="auto"/>
                <w:kern w:val="0"/>
                <w:sz w:val="24"/>
                <w:highlight w:val="none"/>
              </w:rPr>
              <w:t>¥</w:t>
            </w:r>
            <w:r>
              <w:rPr>
                <w:rFonts w:hint="eastAsia" w:eastAsia="仿宋_GB2312"/>
                <w:b/>
                <w:bCs/>
                <w:color w:val="auto"/>
                <w:kern w:val="0"/>
                <w:sz w:val="24"/>
                <w:highlight w:val="none"/>
              </w:rPr>
              <w:t>：</w:t>
            </w:r>
          </w:p>
        </w:tc>
      </w:tr>
      <w:tr>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noWrap w:val="0"/>
            <w:vAlign w:val="center"/>
          </w:tcPr>
          <w:p>
            <w:pPr>
              <w:widowControl/>
              <w:jc w:val="left"/>
              <w:rPr>
                <w:rFonts w:eastAsia="仿宋_GB2312"/>
                <w:b/>
                <w:bCs/>
                <w:color w:val="auto"/>
                <w:kern w:val="0"/>
                <w:sz w:val="24"/>
                <w:highlight w:val="none"/>
              </w:rPr>
            </w:pPr>
          </w:p>
        </w:tc>
        <w:tc>
          <w:tcPr>
            <w:tcW w:w="1349"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eastAsia="仿宋_GB2312"/>
                <w:color w:val="auto"/>
                <w:kern w:val="0"/>
                <w:sz w:val="24"/>
                <w:highlight w:val="none"/>
              </w:rPr>
            </w:pPr>
          </w:p>
        </w:tc>
        <w:tc>
          <w:tcPr>
            <w:tcW w:w="1481" w:type="pct"/>
            <w:tcBorders>
              <w:top w:val="nil"/>
              <w:left w:val="nil"/>
              <w:bottom w:val="single" w:color="auto" w:sz="4" w:space="0"/>
              <w:right w:val="single" w:color="auto" w:sz="4" w:space="0"/>
            </w:tcBorders>
            <w:noWrap/>
            <w:vAlign w:val="center"/>
          </w:tcPr>
          <w:p>
            <w:pPr>
              <w:widowControl/>
              <w:jc w:val="center"/>
              <w:rPr>
                <w:rFonts w:eastAsia="仿宋_GB2312"/>
                <w:b/>
                <w:bCs/>
                <w:color w:val="auto"/>
                <w:kern w:val="0"/>
                <w:sz w:val="24"/>
                <w:highlight w:val="none"/>
              </w:rPr>
            </w:pPr>
            <w:r>
              <w:rPr>
                <w:rFonts w:eastAsia="仿宋_GB2312"/>
                <w:b/>
                <w:bCs/>
                <w:color w:val="auto"/>
                <w:kern w:val="0"/>
                <w:sz w:val="24"/>
                <w:highlight w:val="none"/>
              </w:rPr>
              <w:t>验收时间/地点</w:t>
            </w:r>
          </w:p>
        </w:tc>
        <w:tc>
          <w:tcPr>
            <w:tcW w:w="1248" w:type="pct"/>
            <w:tcBorders>
              <w:top w:val="nil"/>
              <w:left w:val="nil"/>
              <w:bottom w:val="single" w:color="auto" w:sz="4" w:space="0"/>
              <w:right w:val="single" w:color="auto" w:sz="8" w:space="0"/>
            </w:tcBorders>
            <w:noWrap/>
            <w:vAlign w:val="center"/>
          </w:tcPr>
          <w:p>
            <w:pPr>
              <w:widowControl/>
              <w:jc w:val="center"/>
              <w:rPr>
                <w:rFonts w:eastAsia="仿宋_GB2312"/>
                <w:color w:val="auto"/>
                <w:kern w:val="0"/>
                <w:sz w:val="24"/>
                <w:highlight w:val="none"/>
              </w:rPr>
            </w:pPr>
            <w:r>
              <w:rPr>
                <w:rFonts w:eastAsia="仿宋_GB2312"/>
                <w:color w:val="auto"/>
                <w:kern w:val="0"/>
                <w:sz w:val="24"/>
                <w:highlight w:val="none"/>
              </w:rPr>
              <w:t>　</w:t>
            </w:r>
          </w:p>
        </w:tc>
      </w:tr>
      <w:tr>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pPr>
              <w:widowControl/>
              <w:jc w:val="center"/>
              <w:rPr>
                <w:rFonts w:eastAsia="仿宋_GB2312"/>
                <w:b/>
                <w:bCs/>
                <w:color w:val="auto"/>
                <w:kern w:val="0"/>
                <w:sz w:val="24"/>
                <w:highlight w:val="none"/>
              </w:rPr>
            </w:pPr>
            <w:r>
              <w:rPr>
                <w:rFonts w:eastAsia="仿宋_GB2312"/>
                <w:b/>
                <w:bCs/>
                <w:color w:val="auto"/>
                <w:kern w:val="0"/>
                <w:sz w:val="24"/>
                <w:highlight w:val="none"/>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pPr>
              <w:widowControl/>
              <w:jc w:val="center"/>
              <w:rPr>
                <w:rFonts w:eastAsia="仿宋_GB2312"/>
                <w:color w:val="auto"/>
                <w:kern w:val="0"/>
                <w:sz w:val="24"/>
                <w:highlight w:val="none"/>
              </w:rPr>
            </w:pPr>
            <w:r>
              <w:rPr>
                <w:rFonts w:eastAsia="仿宋_GB2312"/>
                <w:color w:val="auto"/>
                <w:kern w:val="0"/>
                <w:sz w:val="24"/>
                <w:highlight w:val="none"/>
              </w:rPr>
              <w:t>　</w:t>
            </w:r>
          </w:p>
        </w:tc>
      </w:tr>
      <w:tr>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pPr>
              <w:widowControl/>
              <w:jc w:val="center"/>
              <w:rPr>
                <w:rFonts w:eastAsia="仿宋_GB2312"/>
                <w:b/>
                <w:bCs/>
                <w:color w:val="auto"/>
                <w:kern w:val="0"/>
                <w:sz w:val="24"/>
                <w:highlight w:val="none"/>
              </w:rPr>
            </w:pPr>
            <w:r>
              <w:rPr>
                <w:rFonts w:eastAsia="仿宋_GB2312"/>
                <w:b/>
                <w:bCs/>
                <w:color w:val="auto"/>
                <w:kern w:val="0"/>
                <w:sz w:val="24"/>
                <w:highlight w:val="none"/>
              </w:rPr>
              <w:t>开户行</w:t>
            </w:r>
          </w:p>
        </w:tc>
        <w:tc>
          <w:tcPr>
            <w:tcW w:w="1349" w:type="pct"/>
            <w:tcBorders>
              <w:top w:val="nil"/>
              <w:left w:val="nil"/>
              <w:bottom w:val="single" w:color="auto" w:sz="4" w:space="0"/>
              <w:right w:val="single" w:color="auto" w:sz="4" w:space="0"/>
            </w:tcBorders>
            <w:noWrap/>
            <w:vAlign w:val="center"/>
          </w:tcPr>
          <w:p>
            <w:pPr>
              <w:widowControl/>
              <w:jc w:val="center"/>
              <w:rPr>
                <w:rFonts w:eastAsia="仿宋_GB2312"/>
                <w:color w:val="auto"/>
                <w:kern w:val="0"/>
                <w:sz w:val="24"/>
                <w:highlight w:val="none"/>
              </w:rPr>
            </w:pPr>
            <w:r>
              <w:rPr>
                <w:rFonts w:eastAsia="仿宋_GB2312"/>
                <w:color w:val="auto"/>
                <w:kern w:val="0"/>
                <w:sz w:val="24"/>
                <w:highlight w:val="none"/>
              </w:rPr>
              <w:t>　</w:t>
            </w:r>
          </w:p>
        </w:tc>
        <w:tc>
          <w:tcPr>
            <w:tcW w:w="1481" w:type="pct"/>
            <w:tcBorders>
              <w:top w:val="nil"/>
              <w:left w:val="nil"/>
              <w:bottom w:val="single" w:color="auto" w:sz="4" w:space="0"/>
              <w:right w:val="single" w:color="auto" w:sz="4" w:space="0"/>
            </w:tcBorders>
            <w:noWrap/>
            <w:vAlign w:val="center"/>
          </w:tcPr>
          <w:p>
            <w:pPr>
              <w:widowControl/>
              <w:jc w:val="center"/>
              <w:rPr>
                <w:rFonts w:eastAsia="仿宋_GB2312"/>
                <w:b/>
                <w:bCs/>
                <w:color w:val="auto"/>
                <w:kern w:val="0"/>
                <w:sz w:val="24"/>
                <w:highlight w:val="none"/>
              </w:rPr>
            </w:pPr>
            <w:r>
              <w:rPr>
                <w:rFonts w:eastAsia="仿宋_GB2312"/>
                <w:b/>
                <w:bCs/>
                <w:color w:val="auto"/>
                <w:kern w:val="0"/>
                <w:sz w:val="24"/>
                <w:highlight w:val="none"/>
              </w:rPr>
              <w:t>账号</w:t>
            </w:r>
          </w:p>
        </w:tc>
        <w:tc>
          <w:tcPr>
            <w:tcW w:w="1248" w:type="pct"/>
            <w:tcBorders>
              <w:top w:val="nil"/>
              <w:left w:val="nil"/>
              <w:bottom w:val="single" w:color="auto" w:sz="4" w:space="0"/>
              <w:right w:val="single" w:color="auto" w:sz="8" w:space="0"/>
            </w:tcBorders>
            <w:noWrap/>
            <w:vAlign w:val="center"/>
          </w:tcPr>
          <w:p>
            <w:pPr>
              <w:widowControl/>
              <w:jc w:val="center"/>
              <w:rPr>
                <w:rFonts w:eastAsia="仿宋_GB2312"/>
                <w:color w:val="auto"/>
                <w:kern w:val="0"/>
                <w:sz w:val="24"/>
                <w:highlight w:val="none"/>
              </w:rPr>
            </w:pPr>
            <w:r>
              <w:rPr>
                <w:rFonts w:eastAsia="仿宋_GB2312"/>
                <w:color w:val="auto"/>
                <w:kern w:val="0"/>
                <w:sz w:val="24"/>
                <w:highlight w:val="none"/>
              </w:rPr>
              <w:t>　</w:t>
            </w:r>
          </w:p>
        </w:tc>
      </w:tr>
      <w:tr>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pPr>
              <w:widowControl/>
              <w:jc w:val="center"/>
              <w:rPr>
                <w:rFonts w:eastAsia="仿宋_GB2312"/>
                <w:b/>
                <w:bCs/>
                <w:color w:val="auto"/>
                <w:kern w:val="0"/>
                <w:sz w:val="24"/>
                <w:highlight w:val="none"/>
              </w:rPr>
            </w:pPr>
            <w:r>
              <w:rPr>
                <w:rFonts w:eastAsia="仿宋_GB2312"/>
                <w:b/>
                <w:bCs/>
                <w:color w:val="auto"/>
                <w:kern w:val="0"/>
                <w:sz w:val="24"/>
                <w:highlight w:val="none"/>
              </w:rPr>
              <w:t>联系人</w:t>
            </w:r>
          </w:p>
        </w:tc>
        <w:tc>
          <w:tcPr>
            <w:tcW w:w="1349" w:type="pct"/>
            <w:tcBorders>
              <w:top w:val="nil"/>
              <w:left w:val="nil"/>
              <w:bottom w:val="nil"/>
              <w:right w:val="single" w:color="auto" w:sz="4" w:space="0"/>
            </w:tcBorders>
            <w:noWrap/>
            <w:vAlign w:val="center"/>
          </w:tcPr>
          <w:p>
            <w:pPr>
              <w:widowControl/>
              <w:jc w:val="center"/>
              <w:rPr>
                <w:rFonts w:eastAsia="仿宋_GB2312"/>
                <w:color w:val="auto"/>
                <w:kern w:val="0"/>
                <w:sz w:val="24"/>
                <w:highlight w:val="none"/>
              </w:rPr>
            </w:pPr>
            <w:r>
              <w:rPr>
                <w:rFonts w:eastAsia="仿宋_GB2312"/>
                <w:color w:val="auto"/>
                <w:kern w:val="0"/>
                <w:sz w:val="24"/>
                <w:highlight w:val="none"/>
              </w:rPr>
              <w:t>　</w:t>
            </w:r>
          </w:p>
        </w:tc>
        <w:tc>
          <w:tcPr>
            <w:tcW w:w="1481" w:type="pct"/>
            <w:tcBorders>
              <w:top w:val="nil"/>
              <w:left w:val="nil"/>
              <w:bottom w:val="nil"/>
              <w:right w:val="single" w:color="auto" w:sz="4" w:space="0"/>
            </w:tcBorders>
            <w:noWrap/>
            <w:vAlign w:val="center"/>
          </w:tcPr>
          <w:p>
            <w:pPr>
              <w:widowControl/>
              <w:jc w:val="center"/>
              <w:rPr>
                <w:rFonts w:eastAsia="仿宋_GB2312"/>
                <w:b/>
                <w:bCs/>
                <w:color w:val="auto"/>
                <w:kern w:val="0"/>
                <w:sz w:val="24"/>
                <w:highlight w:val="none"/>
              </w:rPr>
            </w:pPr>
            <w:r>
              <w:rPr>
                <w:rFonts w:eastAsia="仿宋_GB2312"/>
                <w:b/>
                <w:bCs/>
                <w:color w:val="auto"/>
                <w:kern w:val="0"/>
                <w:sz w:val="24"/>
                <w:highlight w:val="none"/>
              </w:rPr>
              <w:t>电话</w:t>
            </w:r>
          </w:p>
        </w:tc>
        <w:tc>
          <w:tcPr>
            <w:tcW w:w="1248" w:type="pct"/>
            <w:tcBorders>
              <w:top w:val="nil"/>
              <w:left w:val="nil"/>
              <w:bottom w:val="nil"/>
              <w:right w:val="single" w:color="auto" w:sz="8" w:space="0"/>
            </w:tcBorders>
            <w:noWrap/>
            <w:vAlign w:val="center"/>
          </w:tcPr>
          <w:p>
            <w:pPr>
              <w:widowControl/>
              <w:jc w:val="center"/>
              <w:rPr>
                <w:rFonts w:eastAsia="仿宋_GB2312"/>
                <w:color w:val="auto"/>
                <w:kern w:val="0"/>
                <w:sz w:val="24"/>
                <w:highlight w:val="none"/>
              </w:rPr>
            </w:pPr>
            <w:r>
              <w:rPr>
                <w:rFonts w:eastAsia="仿宋_GB2312"/>
                <w:color w:val="auto"/>
                <w:kern w:val="0"/>
                <w:sz w:val="24"/>
                <w:highlight w:val="none"/>
              </w:rPr>
              <w:t>　</w:t>
            </w:r>
          </w:p>
        </w:tc>
      </w:tr>
      <w:tr>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noWrap w:val="0"/>
            <w:vAlign w:val="top"/>
          </w:tcPr>
          <w:p>
            <w:pPr>
              <w:widowControl/>
              <w:jc w:val="left"/>
              <w:rPr>
                <w:rFonts w:eastAsia="仿宋_GB2312"/>
                <w:b/>
                <w:bCs/>
                <w:color w:val="auto"/>
                <w:kern w:val="0"/>
                <w:sz w:val="24"/>
                <w:highlight w:val="none"/>
              </w:rPr>
            </w:pPr>
            <w:r>
              <w:rPr>
                <w:rFonts w:eastAsia="仿宋_GB2312"/>
                <w:b/>
                <w:bCs/>
                <w:color w:val="auto"/>
                <w:kern w:val="0"/>
                <w:sz w:val="24"/>
                <w:highlight w:val="none"/>
              </w:rPr>
              <w:t xml:space="preserve">  供货单位：（盖章）</w:t>
            </w:r>
          </w:p>
        </w:tc>
        <w:tc>
          <w:tcPr>
            <w:tcW w:w="2729" w:type="pct"/>
            <w:gridSpan w:val="2"/>
            <w:tcBorders>
              <w:top w:val="single" w:color="auto" w:sz="4" w:space="0"/>
              <w:left w:val="single" w:color="auto" w:sz="4" w:space="0"/>
              <w:bottom w:val="nil"/>
              <w:right w:val="single" w:color="000000" w:sz="8" w:space="0"/>
            </w:tcBorders>
            <w:noWrap w:val="0"/>
            <w:vAlign w:val="top"/>
          </w:tcPr>
          <w:p>
            <w:pPr>
              <w:widowControl/>
              <w:jc w:val="left"/>
              <w:rPr>
                <w:rFonts w:eastAsia="仿宋_GB2312"/>
                <w:b/>
                <w:bCs/>
                <w:color w:val="auto"/>
                <w:kern w:val="0"/>
                <w:sz w:val="24"/>
                <w:highlight w:val="none"/>
              </w:rPr>
            </w:pPr>
            <w:r>
              <w:rPr>
                <w:rFonts w:eastAsia="仿宋_GB2312"/>
                <w:b/>
                <w:bCs/>
                <w:color w:val="auto"/>
                <w:kern w:val="0"/>
                <w:sz w:val="24"/>
                <w:highlight w:val="none"/>
              </w:rPr>
              <w:t xml:space="preserve">   使用单位验收意见：（盖章）</w:t>
            </w:r>
          </w:p>
          <w:p>
            <w:pPr>
              <w:rPr>
                <w:rFonts w:eastAsia="仿宋_GB2312"/>
                <w:color w:val="auto"/>
                <w:sz w:val="24"/>
                <w:highlight w:val="none"/>
              </w:rPr>
            </w:pPr>
          </w:p>
        </w:tc>
      </w:tr>
      <w:tr>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pPr>
              <w:widowControl/>
              <w:jc w:val="center"/>
              <w:rPr>
                <w:rFonts w:eastAsia="仿宋_GB2312"/>
                <w:b/>
                <w:bCs/>
                <w:color w:val="auto"/>
                <w:kern w:val="0"/>
                <w:sz w:val="24"/>
                <w:highlight w:val="none"/>
              </w:rPr>
            </w:pPr>
            <w:r>
              <w:rPr>
                <w:rFonts w:eastAsia="仿宋_GB2312"/>
                <w:b/>
                <w:bCs/>
                <w:color w:val="auto"/>
                <w:kern w:val="0"/>
                <w:sz w:val="24"/>
                <w:highlight w:val="none"/>
              </w:rPr>
              <w:t xml:space="preserve"> 签字：</w:t>
            </w:r>
          </w:p>
        </w:tc>
        <w:tc>
          <w:tcPr>
            <w:tcW w:w="1349" w:type="pct"/>
            <w:tcBorders>
              <w:top w:val="nil"/>
              <w:left w:val="nil"/>
              <w:bottom w:val="nil"/>
              <w:right w:val="nil"/>
            </w:tcBorders>
            <w:noWrap/>
            <w:vAlign w:val="center"/>
          </w:tcPr>
          <w:p>
            <w:pPr>
              <w:widowControl/>
              <w:jc w:val="center"/>
              <w:rPr>
                <w:rFonts w:eastAsia="仿宋_GB2312"/>
                <w:b/>
                <w:bCs/>
                <w:color w:val="auto"/>
                <w:kern w:val="0"/>
                <w:sz w:val="24"/>
                <w:highlight w:val="none"/>
              </w:rPr>
            </w:pPr>
          </w:p>
        </w:tc>
        <w:tc>
          <w:tcPr>
            <w:tcW w:w="1481" w:type="pct"/>
            <w:tcBorders>
              <w:top w:val="nil"/>
              <w:left w:val="single" w:color="auto" w:sz="4" w:space="0"/>
              <w:bottom w:val="nil"/>
              <w:right w:val="nil"/>
            </w:tcBorders>
            <w:noWrap/>
            <w:vAlign w:val="center"/>
          </w:tcPr>
          <w:p>
            <w:pPr>
              <w:widowControl/>
              <w:jc w:val="center"/>
              <w:rPr>
                <w:rFonts w:eastAsia="仿宋_GB2312"/>
                <w:b/>
                <w:bCs/>
                <w:color w:val="auto"/>
                <w:kern w:val="0"/>
                <w:sz w:val="24"/>
                <w:highlight w:val="none"/>
              </w:rPr>
            </w:pPr>
            <w:r>
              <w:rPr>
                <w:rFonts w:eastAsia="仿宋_GB2312"/>
                <w:b/>
                <w:bCs/>
                <w:color w:val="auto"/>
                <w:kern w:val="0"/>
                <w:sz w:val="24"/>
                <w:highlight w:val="none"/>
              </w:rPr>
              <w:t>签字：</w:t>
            </w:r>
          </w:p>
        </w:tc>
        <w:tc>
          <w:tcPr>
            <w:tcW w:w="1248" w:type="pct"/>
            <w:tcBorders>
              <w:top w:val="nil"/>
              <w:left w:val="nil"/>
              <w:bottom w:val="nil"/>
              <w:right w:val="single" w:color="auto" w:sz="8" w:space="0"/>
            </w:tcBorders>
            <w:noWrap w:val="0"/>
            <w:vAlign w:val="top"/>
          </w:tcPr>
          <w:p>
            <w:pPr>
              <w:widowControl/>
              <w:jc w:val="left"/>
              <w:rPr>
                <w:rFonts w:eastAsia="仿宋_GB2312"/>
                <w:b/>
                <w:bCs/>
                <w:color w:val="auto"/>
                <w:kern w:val="0"/>
                <w:sz w:val="24"/>
                <w:highlight w:val="none"/>
              </w:rPr>
            </w:pPr>
            <w:r>
              <w:rPr>
                <w:rFonts w:eastAsia="仿宋_GB2312"/>
                <w:b/>
                <w:bCs/>
                <w:color w:val="auto"/>
                <w:kern w:val="0"/>
                <w:sz w:val="24"/>
                <w:highlight w:val="none"/>
              </w:rPr>
              <w:t>　</w:t>
            </w:r>
          </w:p>
        </w:tc>
      </w:tr>
      <w:tr>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pPr>
              <w:widowControl/>
              <w:jc w:val="left"/>
              <w:rPr>
                <w:rFonts w:eastAsia="仿宋_GB2312"/>
                <w:color w:val="auto"/>
                <w:kern w:val="0"/>
                <w:sz w:val="22"/>
                <w:szCs w:val="22"/>
                <w:highlight w:val="none"/>
              </w:rPr>
            </w:pPr>
            <w:r>
              <w:rPr>
                <w:rFonts w:eastAsia="仿宋_GB2312"/>
                <w:color w:val="auto"/>
                <w:kern w:val="0"/>
                <w:sz w:val="22"/>
                <w:szCs w:val="22"/>
                <w:highlight w:val="none"/>
              </w:rPr>
              <w:t>　</w:t>
            </w:r>
          </w:p>
        </w:tc>
        <w:tc>
          <w:tcPr>
            <w:tcW w:w="1349" w:type="pct"/>
            <w:tcBorders>
              <w:top w:val="nil"/>
              <w:left w:val="nil"/>
              <w:bottom w:val="single" w:color="auto" w:sz="4" w:space="0"/>
              <w:right w:val="nil"/>
            </w:tcBorders>
            <w:noWrap w:val="0"/>
            <w:vAlign w:val="bottom"/>
          </w:tcPr>
          <w:p>
            <w:pPr>
              <w:widowControl/>
              <w:jc w:val="right"/>
              <w:rPr>
                <w:rFonts w:eastAsia="仿宋_GB2312"/>
                <w:color w:val="auto"/>
                <w:kern w:val="0"/>
                <w:sz w:val="22"/>
                <w:szCs w:val="22"/>
                <w:highlight w:val="none"/>
              </w:rPr>
            </w:pPr>
            <w:r>
              <w:rPr>
                <w:rFonts w:eastAsia="仿宋_GB2312"/>
                <w:color w:val="auto"/>
                <w:kern w:val="0"/>
                <w:sz w:val="22"/>
                <w:szCs w:val="22"/>
                <w:highlight w:val="none"/>
              </w:rPr>
              <w:t>年     月   日</w:t>
            </w:r>
          </w:p>
        </w:tc>
        <w:tc>
          <w:tcPr>
            <w:tcW w:w="1481" w:type="pct"/>
            <w:tcBorders>
              <w:top w:val="nil"/>
              <w:left w:val="single" w:color="auto" w:sz="4" w:space="0"/>
              <w:bottom w:val="single" w:color="auto" w:sz="4" w:space="0"/>
              <w:right w:val="nil"/>
            </w:tcBorders>
            <w:noWrap/>
            <w:vAlign w:val="center"/>
          </w:tcPr>
          <w:p>
            <w:pPr>
              <w:widowControl/>
              <w:jc w:val="left"/>
              <w:rPr>
                <w:rFonts w:eastAsia="仿宋_GB2312"/>
                <w:color w:val="auto"/>
                <w:kern w:val="0"/>
                <w:sz w:val="22"/>
                <w:szCs w:val="22"/>
                <w:highlight w:val="none"/>
              </w:rPr>
            </w:pPr>
            <w:r>
              <w:rPr>
                <w:rFonts w:eastAsia="仿宋_GB2312"/>
                <w:color w:val="auto"/>
                <w:kern w:val="0"/>
                <w:sz w:val="22"/>
                <w:szCs w:val="22"/>
                <w:highlight w:val="none"/>
              </w:rPr>
              <w:t>　</w:t>
            </w:r>
          </w:p>
        </w:tc>
        <w:tc>
          <w:tcPr>
            <w:tcW w:w="1248" w:type="pct"/>
            <w:tcBorders>
              <w:top w:val="nil"/>
              <w:left w:val="nil"/>
              <w:bottom w:val="single" w:color="auto" w:sz="4" w:space="0"/>
              <w:right w:val="single" w:color="auto" w:sz="8" w:space="0"/>
            </w:tcBorders>
            <w:noWrap w:val="0"/>
            <w:vAlign w:val="bottom"/>
          </w:tcPr>
          <w:p>
            <w:pPr>
              <w:widowControl/>
              <w:jc w:val="right"/>
              <w:rPr>
                <w:rFonts w:eastAsia="仿宋_GB2312"/>
                <w:color w:val="auto"/>
                <w:kern w:val="0"/>
                <w:sz w:val="22"/>
                <w:szCs w:val="22"/>
                <w:highlight w:val="none"/>
              </w:rPr>
            </w:pPr>
            <w:r>
              <w:rPr>
                <w:rFonts w:eastAsia="仿宋_GB2312"/>
                <w:color w:val="auto"/>
                <w:kern w:val="0"/>
                <w:sz w:val="22"/>
                <w:szCs w:val="22"/>
                <w:highlight w:val="none"/>
              </w:rPr>
              <w:t>年   月   日</w:t>
            </w:r>
          </w:p>
        </w:tc>
      </w:tr>
      <w:tr>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pPr>
              <w:widowControl/>
              <w:jc w:val="center"/>
              <w:rPr>
                <w:rFonts w:eastAsia="仿宋_GB2312"/>
                <w:b/>
                <w:bCs/>
                <w:color w:val="auto"/>
                <w:kern w:val="0"/>
                <w:sz w:val="22"/>
                <w:szCs w:val="22"/>
                <w:highlight w:val="none"/>
              </w:rPr>
            </w:pPr>
            <w:r>
              <w:rPr>
                <w:rFonts w:eastAsia="仿宋_GB2312"/>
                <w:b/>
                <w:bCs/>
                <w:color w:val="auto"/>
                <w:kern w:val="0"/>
                <w:sz w:val="22"/>
                <w:szCs w:val="22"/>
                <w:highlight w:val="none"/>
              </w:rPr>
              <w:t>采购内容</w:t>
            </w:r>
          </w:p>
        </w:tc>
      </w:tr>
      <w:tr>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noWrap w:val="0"/>
            <w:vAlign w:val="top"/>
          </w:tcPr>
          <w:p>
            <w:pPr>
              <w:widowControl/>
              <w:jc w:val="center"/>
              <w:rPr>
                <w:rFonts w:eastAsia="仿宋_GB2312"/>
                <w:b/>
                <w:bCs/>
                <w:color w:val="auto"/>
                <w:kern w:val="0"/>
                <w:sz w:val="28"/>
                <w:szCs w:val="28"/>
                <w:highlight w:val="none"/>
              </w:rPr>
            </w:pPr>
            <w:r>
              <w:rPr>
                <w:rFonts w:eastAsia="仿宋_GB2312"/>
                <w:b/>
                <w:bCs/>
                <w:color w:val="auto"/>
                <w:kern w:val="0"/>
                <w:sz w:val="28"/>
                <w:szCs w:val="28"/>
                <w:highlight w:val="none"/>
              </w:rPr>
              <w:t>采购内容请列明品目、规格、型号、数量、单价、总价</w:t>
            </w:r>
          </w:p>
        </w:tc>
      </w:tr>
    </w:tbl>
    <w:p>
      <w:pPr>
        <w:pStyle w:val="7"/>
        <w:rPr>
          <w:rFonts w:hint="eastAsia"/>
          <w:lang w:val="en-US" w:eastAsia="zh-Hans"/>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040067"/>
    <w:multiLevelType w:val="singleLevel"/>
    <w:tmpl w:val="C7040067"/>
    <w:lvl w:ilvl="0" w:tentative="0">
      <w:start w:val="1"/>
      <w:numFmt w:val="decimal"/>
      <w:suff w:val="nothing"/>
      <w:lvlText w:val="%1、"/>
      <w:lvlJc w:val="left"/>
    </w:lvl>
  </w:abstractNum>
  <w:abstractNum w:abstractNumId="1">
    <w:nsid w:val="348DD68A"/>
    <w:multiLevelType w:val="singleLevel"/>
    <w:tmpl w:val="348DD68A"/>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4M2IwZWU2NGQwY2Q2MzdjNDg0MjU3OTk0OGYyNTkifQ=="/>
  </w:docVars>
  <w:rsids>
    <w:rsidRoot w:val="10200DD9"/>
    <w:rsid w:val="10200DD9"/>
    <w:rsid w:val="57AC33CC"/>
    <w:rsid w:val="5FF455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spacing w:after="156" w:afterLines="50" w:line="360" w:lineRule="auto"/>
    </w:pPr>
    <w:rPr>
      <w:rFonts w:ascii="宋体" w:hAnsi="宋体"/>
      <w:color w:val="000000"/>
      <w:sz w:val="24"/>
    </w:rPr>
  </w:style>
  <w:style w:type="paragraph" w:styleId="3">
    <w:name w:val="Title"/>
    <w:basedOn w:val="1"/>
    <w:next w:val="1"/>
    <w:qFormat/>
    <w:uiPriority w:val="0"/>
    <w:pPr>
      <w:spacing w:before="240" w:after="60" w:line="440" w:lineRule="exact"/>
      <w:jc w:val="center"/>
      <w:outlineLvl w:val="0"/>
    </w:pPr>
    <w:rPr>
      <w:rFonts w:ascii="Cambria" w:hAnsi="Cambria"/>
      <w:b/>
      <w:bCs/>
      <w:sz w:val="32"/>
      <w:szCs w:val="32"/>
    </w:rPr>
  </w:style>
  <w:style w:type="character" w:customStyle="1" w:styleId="6">
    <w:name w:val="标题 1 Char1"/>
    <w:qFormat/>
    <w:uiPriority w:val="99"/>
    <w:rPr>
      <w:rFonts w:ascii="黑体" w:eastAsia="黑体"/>
      <w:sz w:val="52"/>
      <w:lang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2025-08-05T09:56:00Z</dcterms:created>
  <dc:creator>赋玖</dc:creator>
  <cp:lastModifiedBy>赋玖</cp:lastModifiedBy>
  <dcterms:modified xsi:type="dcterms:W3CDTF">2025-08-05T09:59:16Z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0D5AA9948487469DA02394E6B4F17EF1_11</vt:lpwstr>
  </property>
</Properties>
</file>