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版本号：HTZB-CK-202501720250806001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西安航天基地2025年科学创新人才培养项目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HTZB-CK-2025017</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西安航天基地2025年科学创新人才培养项目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HTZB-CK-2025017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西安航天基地2025年科学创新人才培养项目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依据航天基地科学创新人才培养工作方案，高质量实施科学创新人才培养项目的课程开发，课程实施，学生课题研究，教师培训，科技竞赛等项目，保障科学创新人才培养高质量实施。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采购包1（西安航天基地2025年科学创新人才培养项目）：属于专门面向中小企业采购。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竞争性磋商响应文件截止时间前被“信用中国”网站（www.creditchina.gov.cn）和中国政府采购网（www.ccgp.gov.cn）上被列入失信被执行人、重大税收违法失信主体、政府采购严重违法失信行为记录名单的，不得参加磋商；：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西安国家民用航天产业基地管理委员会经办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13772092960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按照采购要求验收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依据航天基地科学创新人才培养工作方案，高质量实施科学创新人才培养项目的课程开发，课程实施，学生课题研究，教师培训，科技竞赛等项目，保障科学创新人才培养高质量实施。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771,600.00</w:t>
      </w:r>
    </w:p>
    <w:p>
      <w:pPr>
        <w:pStyle w:val="null3"/>
      </w:pPr>
      <w:r>
        <w:rPr>
          <w:rFonts w:ascii="仿宋_GB2312" w:hAnsi="仿宋_GB2312" w:cs="仿宋_GB2312" w:eastAsia="仿宋_GB2312"/>
        </w:rPr>
        <w:t>采购包最高限价（元）: 771,600.00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4"/>
              <w:gridCol w:w="226"/>
              <w:gridCol w:w="449"/>
              <w:gridCol w:w="1191"/>
              <w:gridCol w:w="203"/>
              <w:gridCol w:w="302"/>
            </w:tblGrid>
            <w:tr>
              <w:tc>
                <w:tcPr>
                  <w:tcW w:type="dxa" w:w="2545"/>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科学创新人才培养项目服务清单</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w:t>
                  </w:r>
                  <w:r>
                    <w:br/>
                  </w:r>
                  <w:r>
                    <w:rPr>
                      <w:rFonts w:ascii="仿宋_GB2312" w:hAnsi="仿宋_GB2312" w:cs="仿宋_GB2312" w:eastAsia="仿宋_GB2312"/>
                      <w:sz w:val="19"/>
                      <w:b/>
                      <w:color w:val="000000"/>
                    </w:rPr>
                    <w:t xml:space="preserve"> 名称</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服务内容</w:t>
                  </w:r>
                  <w:r>
                    <w:br/>
                  </w:r>
                  <w:r>
                    <w:rPr>
                      <w:rFonts w:ascii="仿宋_GB2312" w:hAnsi="仿宋_GB2312" w:cs="仿宋_GB2312" w:eastAsia="仿宋_GB2312"/>
                      <w:sz w:val="19"/>
                      <w:b/>
                      <w:color w:val="000000"/>
                    </w:rPr>
                    <w:t xml:space="preserve"> 或规格参数</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2025Z-FW-055</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专家讲座与授课费用</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科学创新人才培养计划设立4个班，其中小学2个班，初中两个班，每班35人，共计140人，每周每班常态化开设数学先修课、科学先修课、信息学先修课、阅读写作等创新人才培养程课程或者专家讲座，并形成完整的课程资源和培养计划。每年按照36次计算，每次4小时，4个班共计576小时，授课教师均选自一流高校教授，中小学一线正高级名师或者清北毕业生，按照1000元每小时标准。将</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小时</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576 </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26"/>
                  <w:vMerge/>
                  <w:tcBorders>
                    <w:top w:val="single" w:color="000000" w:sz="4"/>
                    <w:left w:val="single" w:color="000000" w:sz="4"/>
                    <w:bottom w:val="none" w:color="000000" w:sz="4"/>
                    <w:right w:val="single" w:color="000000" w:sz="4"/>
                  </w:tcBorders>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学生课题指专家劳务费</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了让每位学生能够走进科研院所实验室，参与真实的科学研究，得到专家的指导，培养基地将和中国空间技术研究院（西安分院）、西安交通大学、西北工业大学、西安电子科技大学等科研院所深度合作，聘请科学家、专家组建高校导师团，指导学生开展课题研究，并形成完整的学生课题指导手册。每年学生开题（选题）指导和结题指导两次（天），每年指导4次（天）， 学生10人一组，每次140人需要指导专家14人，邀请知名高校教授或者正高级教师专家劳务费按照每人每次（天）1000元标准执行。</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26"/>
                  <w:vMerge/>
                  <w:tcBorders>
                    <w:top w:val="single" w:color="000000" w:sz="4"/>
                    <w:left w:val="single" w:color="000000" w:sz="4"/>
                    <w:bottom w:val="none" w:color="000000" w:sz="4"/>
                    <w:right w:val="single" w:color="000000" w:sz="4"/>
                  </w:tcBorders>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高校科学营研学活动经费</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年组织学生在西安市内双一流高校和科研院所参加科学营活动、让学生深度参与科学研究。2025年规划的科学营地依次为交大、西工大、西电、西北大学、504研究所、清华大学交叉研究院、西安科技馆8个地方，每次研学时间为1天。</w:t>
                  </w:r>
                  <w:r>
                    <w:br/>
                  </w:r>
                  <w:r>
                    <w:rPr>
                      <w:rFonts w:ascii="仿宋_GB2312" w:hAnsi="仿宋_GB2312" w:cs="仿宋_GB2312" w:eastAsia="仿宋_GB2312"/>
                      <w:sz w:val="19"/>
                      <w:color w:val="000000"/>
                    </w:rPr>
                    <w:t xml:space="preserve"> 每年（含假期）组织6次高校科学营活动，每次1天，每次146人（含6名带队老师）需要3辆50座大巴车（1200元）、午餐人均25元，保险人均5元，参观讲解员每辆车500元，学生科学实践材料费人均60元，授课专家劳务费1000元，合计每次（天）人均130元，每次（天）18980元。合计113880元。</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26"/>
                  <w:vMerge/>
                  <w:tcBorders>
                    <w:top w:val="single" w:color="000000" w:sz="4"/>
                    <w:left w:val="single" w:color="000000" w:sz="4"/>
                    <w:bottom w:val="none" w:color="000000" w:sz="4"/>
                    <w:right w:val="single" w:color="000000" w:sz="4"/>
                  </w:tcBorders>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教师外出考察学习培训</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每年邀请国内知名拔尖创新人才培养专家到航天基地做指导和培训1次,参训人数约100人。选派10名项目管理者、骨干教师赴北京或者上海开展一次拔尖创新人才考察研修1次，时间预计5天。</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26"/>
                  <w:vMerge/>
                  <w:tcBorders>
                    <w:top w:val="single" w:color="000000" w:sz="4"/>
                    <w:left w:val="single" w:color="000000" w:sz="4"/>
                    <w:bottom w:val="none" w:color="000000" w:sz="4"/>
                    <w:right w:val="single" w:color="000000" w:sz="4"/>
                  </w:tcBorders>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航天杯科技竞赛</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每年在航天基地区域内组织2次航天杯科技竞赛，表彰优秀，营造氛围。</w:t>
                  </w:r>
                  <w:r>
                    <w:br/>
                  </w:r>
                  <w:r>
                    <w:rPr>
                      <w:rFonts w:ascii="仿宋_GB2312" w:hAnsi="仿宋_GB2312" w:cs="仿宋_GB2312" w:eastAsia="仿宋_GB2312"/>
                      <w:sz w:val="19"/>
                      <w:color w:val="000000"/>
                    </w:rPr>
                    <w:t xml:space="preserve"> 1 评审专家劳务费：4人 × 1000元/人 = 4000元；</w:t>
                  </w:r>
                  <w:r>
                    <w:br/>
                  </w:r>
                  <w:r>
                    <w:rPr>
                      <w:rFonts w:ascii="仿宋_GB2312" w:hAnsi="仿宋_GB2312" w:cs="仿宋_GB2312" w:eastAsia="仿宋_GB2312"/>
                      <w:sz w:val="19"/>
                      <w:color w:val="000000"/>
                    </w:rPr>
                    <w:t xml:space="preserve"> 2 工作人员劳务费：15人 × 200元/人/天  = 3000元；</w:t>
                  </w:r>
                  <w:r>
                    <w:br/>
                  </w:r>
                  <w:r>
                    <w:rPr>
                      <w:rFonts w:ascii="仿宋_GB2312" w:hAnsi="仿宋_GB2312" w:cs="仿宋_GB2312" w:eastAsia="仿宋_GB2312"/>
                      <w:sz w:val="19"/>
                      <w:color w:val="000000"/>
                    </w:rPr>
                    <w:t xml:space="preserve"> 3 主题桁架：5.3*3*0.6m单面桁架，黑白布写真喷绘，设计、制作，搭建约1800元；</w:t>
                  </w:r>
                  <w:r>
                    <w:br/>
                  </w:r>
                  <w:r>
                    <w:rPr>
                      <w:rFonts w:ascii="仿宋_GB2312" w:hAnsi="仿宋_GB2312" w:cs="仿宋_GB2312" w:eastAsia="仿宋_GB2312"/>
                      <w:sz w:val="19"/>
                      <w:color w:val="000000"/>
                    </w:rPr>
                    <w:t xml:space="preserve"> 4 易拉宝展架1200元</w:t>
                  </w:r>
                  <w:r>
                    <w:br/>
                  </w:r>
                  <w:r>
                    <w:rPr>
                      <w:rFonts w:ascii="仿宋_GB2312" w:hAnsi="仿宋_GB2312" w:cs="仿宋_GB2312" w:eastAsia="仿宋_GB2312"/>
                      <w:sz w:val="19"/>
                      <w:color w:val="000000"/>
                    </w:rPr>
                    <w:t xml:space="preserve"> - 尺寸：80cm × 200cm（宽×高）</w:t>
                  </w:r>
                  <w:r>
                    <w:br/>
                  </w:r>
                  <w:r>
                    <w:rPr>
                      <w:rFonts w:ascii="仿宋_GB2312" w:hAnsi="仿宋_GB2312" w:cs="仿宋_GB2312" w:eastAsia="仿宋_GB2312"/>
                      <w:sz w:val="19"/>
                      <w:color w:val="000000"/>
                    </w:rPr>
                    <w:t xml:space="preserve"> - 材料：PP合成纸（可重复使用支架）</w:t>
                  </w:r>
                  <w:r>
                    <w:br/>
                  </w:r>
                  <w:r>
                    <w:rPr>
                      <w:rFonts w:ascii="仿宋_GB2312" w:hAnsi="仿宋_GB2312" w:cs="仿宋_GB2312" w:eastAsia="仿宋_GB2312"/>
                      <w:sz w:val="19"/>
                      <w:color w:val="000000"/>
                    </w:rPr>
                    <w:t xml:space="preserve"> - 工艺：UV喷绘、便携式设计</w:t>
                  </w:r>
                  <w:r>
                    <w:br/>
                  </w:r>
                  <w:r>
                    <w:rPr>
                      <w:rFonts w:ascii="仿宋_GB2312" w:hAnsi="仿宋_GB2312" w:cs="仿宋_GB2312" w:eastAsia="仿宋_GB2312"/>
                      <w:sz w:val="19"/>
                      <w:color w:val="000000"/>
                    </w:rPr>
                    <w:t xml:space="preserve"> - 数量：6个</w:t>
                  </w:r>
                  <w:r>
                    <w:br/>
                  </w:r>
                  <w:r>
                    <w:rPr>
                      <w:rFonts w:ascii="仿宋_GB2312" w:hAnsi="仿宋_GB2312" w:cs="仿宋_GB2312" w:eastAsia="仿宋_GB2312"/>
                      <w:sz w:val="19"/>
                      <w:color w:val="000000"/>
                    </w:rPr>
                    <w:t xml:space="preserve"> - 单位成本：200元/个</w:t>
                  </w:r>
                  <w:r>
                    <w:br/>
                  </w:r>
                  <w:r>
                    <w:rPr>
                      <w:rFonts w:ascii="仿宋_GB2312" w:hAnsi="仿宋_GB2312" w:cs="仿宋_GB2312" w:eastAsia="仿宋_GB2312"/>
                      <w:sz w:val="19"/>
                      <w:color w:val="000000"/>
                    </w:rPr>
                    <w:t xml:space="preserve"> 5 奖牌600元</w:t>
                  </w:r>
                  <w:r>
                    <w:br/>
                  </w:r>
                  <w:r>
                    <w:rPr>
                      <w:rFonts w:ascii="仿宋_GB2312" w:hAnsi="仿宋_GB2312" w:cs="仿宋_GB2312" w:eastAsia="仿宋_GB2312"/>
                      <w:sz w:val="19"/>
                      <w:color w:val="000000"/>
                    </w:rPr>
                    <w:t xml:space="preserve"> - 材质：优秀组织奖铜牌</w:t>
                  </w:r>
                  <w:r>
                    <w:br/>
                  </w:r>
                  <w:r>
                    <w:rPr>
                      <w:rFonts w:ascii="仿宋_GB2312" w:hAnsi="仿宋_GB2312" w:cs="仿宋_GB2312" w:eastAsia="仿宋_GB2312"/>
                      <w:sz w:val="19"/>
                      <w:color w:val="000000"/>
                    </w:rPr>
                    <w:t xml:space="preserve"> - 尺寸：400mm*500mm，</w:t>
                  </w:r>
                  <w:r>
                    <w:br/>
                  </w:r>
                  <w:r>
                    <w:rPr>
                      <w:rFonts w:ascii="仿宋_GB2312" w:hAnsi="仿宋_GB2312" w:cs="仿宋_GB2312" w:eastAsia="仿宋_GB2312"/>
                      <w:sz w:val="19"/>
                      <w:color w:val="000000"/>
                    </w:rPr>
                    <w:t xml:space="preserve"> - 单位成本：60元/个（含设计和制作）</w:t>
                  </w:r>
                  <w:r>
                    <w:br/>
                  </w:r>
                  <w:r>
                    <w:rPr>
                      <w:rFonts w:ascii="仿宋_GB2312" w:hAnsi="仿宋_GB2312" w:cs="仿宋_GB2312" w:eastAsia="仿宋_GB2312"/>
                      <w:sz w:val="19"/>
                      <w:color w:val="000000"/>
                    </w:rPr>
                    <w:t xml:space="preserve"> -数量：10个</w:t>
                  </w:r>
                  <w:r>
                    <w:br/>
                  </w:r>
                  <w:r>
                    <w:rPr>
                      <w:rFonts w:ascii="仿宋_GB2312" w:hAnsi="仿宋_GB2312" w:cs="仿宋_GB2312" w:eastAsia="仿宋_GB2312"/>
                      <w:sz w:val="19"/>
                      <w:color w:val="000000"/>
                    </w:rPr>
                    <w:t xml:space="preserve"> - 小计：600元</w:t>
                  </w:r>
                  <w:r>
                    <w:br/>
                  </w:r>
                  <w:r>
                    <w:rPr>
                      <w:rFonts w:ascii="仿宋_GB2312" w:hAnsi="仿宋_GB2312" w:cs="仿宋_GB2312" w:eastAsia="仿宋_GB2312"/>
                      <w:sz w:val="19"/>
                      <w:color w:val="000000"/>
                    </w:rPr>
                    <w:t xml:space="preserve"> 2. 奖状800元</w:t>
                  </w:r>
                  <w:r>
                    <w:br/>
                  </w:r>
                  <w:r>
                    <w:rPr>
                      <w:rFonts w:ascii="仿宋_GB2312" w:hAnsi="仿宋_GB2312" w:cs="仿宋_GB2312" w:eastAsia="仿宋_GB2312"/>
                      <w:sz w:val="19"/>
                      <w:color w:val="000000"/>
                    </w:rPr>
                    <w:t xml:space="preserve"> - 尺寸：A4（210mm × 297mm）</w:t>
                  </w:r>
                  <w:r>
                    <w:br/>
                  </w:r>
                  <w:r>
                    <w:rPr>
                      <w:rFonts w:ascii="仿宋_GB2312" w:hAnsi="仿宋_GB2312" w:cs="仿宋_GB2312" w:eastAsia="仿宋_GB2312"/>
                      <w:sz w:val="19"/>
                      <w:color w:val="000000"/>
                    </w:rPr>
                    <w:t xml:space="preserve"> - 材料：250g 艺术纸（高档质感）</w:t>
                  </w:r>
                  <w:r>
                    <w:br/>
                  </w:r>
                  <w:r>
                    <w:rPr>
                      <w:rFonts w:ascii="仿宋_GB2312" w:hAnsi="仿宋_GB2312" w:cs="仿宋_GB2312" w:eastAsia="仿宋_GB2312"/>
                      <w:sz w:val="19"/>
                      <w:color w:val="000000"/>
                    </w:rPr>
                    <w:t xml:space="preserve"> - 工艺：彩色印刷、烫金边框、压纹底纹</w:t>
                  </w:r>
                  <w:r>
                    <w:br/>
                  </w:r>
                  <w:r>
                    <w:rPr>
                      <w:rFonts w:ascii="仿宋_GB2312" w:hAnsi="仿宋_GB2312" w:cs="仿宋_GB2312" w:eastAsia="仿宋_GB2312"/>
                      <w:sz w:val="19"/>
                      <w:color w:val="000000"/>
                    </w:rPr>
                    <w:t xml:space="preserve"> - 数量：200张（一二三等奖，每张定制获奖者姓名）</w:t>
                  </w:r>
                  <w:r>
                    <w:br/>
                  </w:r>
                  <w:r>
                    <w:rPr>
                      <w:rFonts w:ascii="仿宋_GB2312" w:hAnsi="仿宋_GB2312" w:cs="仿宋_GB2312" w:eastAsia="仿宋_GB2312"/>
                      <w:sz w:val="19"/>
                      <w:color w:val="000000"/>
                    </w:rPr>
                    <w:t xml:space="preserve"> - 单位成本：4元/张（含设计和印刷）</w:t>
                  </w:r>
                  <w:r>
                    <w:br/>
                  </w:r>
                  <w:r>
                    <w:rPr>
                      <w:rFonts w:ascii="仿宋_GB2312" w:hAnsi="仿宋_GB2312" w:cs="仿宋_GB2312" w:eastAsia="仿宋_GB2312"/>
                      <w:sz w:val="19"/>
                      <w:color w:val="000000"/>
                    </w:rPr>
                    <w:t xml:space="preserve"> - 小计：800元</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次</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r>
            <w:tr>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6"/>
                  <w:tcBorders>
                    <w:top w:val="none" w:color="000000" w:sz="4"/>
                    <w:left w:val="single" w:color="000000" w:sz="4"/>
                    <w:bottom w:val="non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日常运转经费</w:t>
                  </w:r>
                </w:p>
              </w:tc>
              <w:tc>
                <w:tcPr>
                  <w:tcW w:type="dxa" w:w="1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为了保障该项目顺利实施，将定期组织开展相关学术会议、保障学生每次讲义、学习资料印刷等。</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2025年9月1日—2026年9月1日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西安市航天城第一中学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1、验收依据：招标文件、投标文件、本合同及附件文本；国家相应的标准、规范。 2、乙方提供的服务必须完全满足招标文件需求及响应文件。 3、验收不合格，乙方必须在接到甲方通知后15日内完善优化。若接到通知后15个日历日内验收仍不合格，甲方有权取消服务合同，并按合同总额的10%对乙方处以罚金。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项目服务全部结束，经甲方考核合格后，支付100%，付款前提供等额发票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提供了满足磋商文件要求的经审计2023年或2024年的财务报表或本年度基本开户银行出具的资信证明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tc>
        <w:tc>
          <w:tcPr>
            <w:tcW w:type="dxa" w:w="332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磋商响应文件中需要供应商、法定代表人（负责人）或其授权代表人盖章、签字处有盖章、签字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其他响应</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根据采购人要求制定整体服务方案。根据方案是否 合理，措施是否具有针对性、可行性计分。 1.服务方案完全满足项目实际需求，针对性强、可行性强，计（8-12]分； 2.服务方案基本满足项目实际需求，针对性一般、可行性一般，计（4-8] 分； 3.服务方案部分满足项目实际需求，针对性差、可行性差，计(1-4]分； 4.服务方案不满足项目实际需求或未提供计0分。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服务时效及进度保障措施</w:t>
            </w:r>
          </w:p>
        </w:tc>
        <w:tc>
          <w:tcPr>
            <w:tcW w:type="dxa" w:w="2492"/>
          </w:tcPr>
          <w:p>
            <w:pPr>
              <w:pStyle w:val="null3"/>
            </w:pPr>
            <w:r>
              <w:rPr>
                <w:rFonts w:ascii="仿宋_GB2312" w:hAnsi="仿宋_GB2312" w:cs="仿宋_GB2312" w:eastAsia="仿宋_GB2312"/>
              </w:rPr>
              <w:t>结合本项目要求，阐述服务时效及进度保障措施。根据 时间进度安排是否合理可行，分阶段进度计划是否明确 计分。 1.方案完全满足项目实际需求，计(7-10]分； 2.方案基本满足项目实际需求，计(4-7]分； 3.方案部分满足项目实际需求，计(1-4]分； 4.方案不满足项目实际需求或未提供计0分。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实施阶段各工作流程</w:t>
            </w:r>
          </w:p>
        </w:tc>
        <w:tc>
          <w:tcPr>
            <w:tcW w:type="dxa" w:w="2492"/>
          </w:tcPr>
          <w:p>
            <w:pPr>
              <w:pStyle w:val="null3"/>
            </w:pPr>
            <w:r>
              <w:rPr>
                <w:rFonts w:ascii="仿宋_GB2312" w:hAnsi="仿宋_GB2312" w:cs="仿宋_GB2312" w:eastAsia="仿宋_GB2312"/>
              </w:rPr>
              <w:t>能够按照工作内容全面梳理项目实施阶段各工作流程， 根据流程是否清晰、方法是否得当，是否具有可行性计 分。 1.工作流程完全满足项目实际需求，计(7-10]分； 2.工作流程基本满足项目实际需求，计(4-7]分； 3.工作流程部分满足项目实际需求，计(1-4]分； 4.工作流程不满足项目实际需求或未提供计0分。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实施过程中的重点、难点分析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 解决计划可行性强。 1.方案完全满足项目实际需求，计(5-8]分； 2.方案基本满足项目实际需求，计(3-5]分； 3.方案部分满足项目实际需求，计(1-3]分； 4.方案不满足项目实际需求或未提供计0分；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实施过程中的突发、应急事件有相应的响应 方案、应急预案及解决措施</w:t>
            </w:r>
          </w:p>
        </w:tc>
        <w:tc>
          <w:tcPr>
            <w:tcW w:type="dxa" w:w="2492"/>
          </w:tcPr>
          <w:p>
            <w:pPr>
              <w:pStyle w:val="null3"/>
            </w:pPr>
            <w:r>
              <w:rPr>
                <w:rFonts w:ascii="仿宋_GB2312" w:hAnsi="仿宋_GB2312" w:cs="仿宋_GB2312" w:eastAsia="仿宋_GB2312"/>
              </w:rPr>
              <w:t>针对本项目实施过程中的突发、应急事件有相应的响应 方案、应急预案及解决措施。 1、突发、应急事件的方案完整，措施可行性强，计5分； 2、突发、应急事件的方案基本完整，措施可行性一般，计3分； 3、突发、应急事件的方案不完整，措施可行性差，计1分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提供针对本项目负责人的详细情况，包括但不限于工作 履历、从业经验、从业证书等。 1.负责人履历完全满足项目实际需求，计5分； 2.负责人履历基本满足项目实际需求，计3分； 3.负责人履历部分满足项目实际需求，计1分； 4.负责人履历不满足项目实际需求，计0分；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人员（项目负责人除外）配备方案</w:t>
            </w:r>
          </w:p>
        </w:tc>
        <w:tc>
          <w:tcPr>
            <w:tcW w:type="dxa" w:w="2492"/>
          </w:tcPr>
          <w:p>
            <w:pPr>
              <w:pStyle w:val="null3"/>
            </w:pPr>
            <w:r>
              <w:rPr>
                <w:rFonts w:ascii="仿宋_GB2312" w:hAnsi="仿宋_GB2312" w:cs="仿宋_GB2312" w:eastAsia="仿宋_GB2312"/>
              </w:rPr>
              <w:t>投标人针对项目提供人员（项目负责人除外）配备方案：根据人员配备是否完善充足、岗位设置是否齐全、分工是否明确计分。 1.人员配备完全满足项目实际需求，计(7-10]分； 2.人员配备基本满足项目实际需求，计(4-7]分； 3.人员配备部分满足项目实际需求，计(1-4]分； 4.人员配备完全不满足项目实际需求，计0分；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根据供应商针对本项目服务质量保证措施的完善程度进 行综合评审：质量保证措施有力、完善且具有良好的服务体系和服务方案。 1.方案完全满足项目实际需求，计(7-10]分； 2.方案基本满足项目实际需求，计(4-7]分； 3.方案部分满足项目实际需求，计(1-4]分； 4.方案不满足项目实际需求或未提供，计0分；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提供供应商2022年1月1日至今和本项目类似合同（以合同签订日期为准），每提供1个得2分，最高得10分。 备注：类似定义为相关人才培养项目等内容； 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针对本项目提供的其他合理化建议； 1.建议内容完善、条理清晰（主旨突出），针对性强能够体现专业能力的计（3-5]分； 2、提供但不完善，内容针对性较差、有缺漏项、表述不清晰的得（1-3]分； 3、提供的建议内容不全、可行性差、没有针对性的得（0-1]分； 4、未提供合理化建议的不得分。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 且磋商价格最低的磋商报价为评标基准价，其价格分为 满分。其他供应商的价格分统一按照下列公式计算：价格分=(评标基准价／磋商报价)×报价分值 注：1、计算分数时四舍五入取小数点后两位； 2、落实政府采购政策：参见磋商须知前附表。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详见附件：西安航天基地2025年科学创新人才培养项目采购服务合同.docx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