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版本号：DX2025-23120250902001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教育信息化应用服务软件及学科工具的购置项目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DX2025-231</w:t>
      </w:r>
      <w:r>
        <w:br/>
      </w:r>
      <w:r>
        <w:br/>
      </w:r>
      <w:r>
        <w:br/>
      </w:r>
    </w:p>
    <w:p>
      <w:pPr>
        <w:pStyle w:val="null3"/>
        <w:jc w:val="center"/>
        <w:outlineLvl w:val="2"/>
      </w:pPr>
      <w:r>
        <w:rPr>
          <w:rFonts w:ascii="仿宋_GB2312" w:hAnsi="仿宋_GB2312" w:cs="仿宋_GB2312" w:eastAsia="仿宋_GB2312"/>
          <w:sz w:val="28"/>
          <w:b/>
        </w:rPr>
        <w:t>西安航天城第五小学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西安航天城第五小学</w:t>
      </w:r>
      <w:r>
        <w:rPr>
          <w:rFonts w:ascii="仿宋_GB2312" w:hAnsi="仿宋_GB2312" w:cs="仿宋_GB2312" w:eastAsia="仿宋_GB2312"/>
        </w:rPr>
        <w:t>委托，拟对</w:t>
      </w:r>
      <w:r>
        <w:rPr>
          <w:rFonts w:ascii="仿宋_GB2312" w:hAnsi="仿宋_GB2312" w:cs="仿宋_GB2312" w:eastAsia="仿宋_GB2312"/>
        </w:rPr>
        <w:t>教育信息化应用服务软件及学科工具的购置项目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教育信息化应用服务软件及学科工具的购置项目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西安航天城第五小学教育信息化应用服务软件及学科工具的购置项目。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：供应商须提供符合《中华人民共和国政府采购法》第二十二条规定的资格承诺函。</w:t>
      </w:r>
    </w:p>
    <w:p>
      <w:pPr>
        <w:pStyle w:val="null3"/>
      </w:pPr>
      <w:r>
        <w:rPr>
          <w:rFonts w:ascii="仿宋_GB2312" w:hAnsi="仿宋_GB2312" w:cs="仿宋_GB2312" w:eastAsia="仿宋_GB2312"/>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东长安街与航天西路西南角皇子坡城改区域内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李剑桥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19992860867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刘艳娇、聂肖、张亚娜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西安航天城第五小学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西安航天城第五小学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西安航天城第五小学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陕西笃信招标有限公司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联系人：聂肖、张亚娜、刘艳娇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西安航天城第五小学教育信息化应用服务软件及学科工具的购置项目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采购1批教育信息化设备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标的名称：采购1批教育信息化设备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1、本项目核心产品为：教育云平台、班牌系统、学业测评与学情诊断系统</w:t>
            </w:r>
          </w:p>
          <w:p>
            <w:pPr>
              <w:pStyle w:val="null3"/>
              <w:jc w:val="both"/>
            </w:pPr>
            <w:r>
              <w:rPr>
                <w:rFonts w:ascii="仿宋_GB2312" w:hAnsi="仿宋_GB2312" w:cs="仿宋_GB2312" w:eastAsia="仿宋_GB2312"/>
                <w:sz w:val="21"/>
              </w:rPr>
              <w:t>2、设备清单详见附件。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合同签订起30日内完成交付。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协商，供应商需在电子化交易系统上传响应的文件。中标供应商领取中标通知书时，向采购代理机构提供一正两副纸质响应文件及电子版1份（签字盖章扫描PDF和word文档格式，U盘存储）。 2.供应商应自投标文件递交截止时间起至开标结束，保持在线状态。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第一次谈判报价表 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（1）谈判报价符合唯一性要求： （2）谈判报价表填写 符合要求；（3）计量单位、报价货币均符合谈判文件要求；（4）未超出采购预算或谈判文件规定的最高限价。</w:t>
            </w:r>
          </w:p>
        </w:tc>
        <w:tc>
          <w:tcPr>
            <w:tcW w:type="dxa" w:w="1661"/>
          </w:tcPr>
          <w:p>
            <w:pPr>
              <w:pStyle w:val="null3"/>
            </w:pPr>
            <w:r>
              <w:rPr>
                <w:rFonts w:ascii="仿宋_GB2312" w:hAnsi="仿宋_GB2312" w:cs="仿宋_GB2312" w:eastAsia="仿宋_GB2312"/>
              </w:rPr>
              <w:t>第一次谈判报价表 分项报价表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无其他谈判文件或法规明确规定响应无效的事项，没有不符合谈判文件规定的被视为无效响应的其他条款。</w:t>
            </w:r>
          </w:p>
        </w:tc>
        <w:tc>
          <w:tcPr>
            <w:tcW w:type="dxa" w:w="1661"/>
          </w:tcPr>
          <w:p>
            <w:pPr>
              <w:pStyle w:val="null3"/>
            </w:pPr>
            <w:r>
              <w:rPr>
                <w:rFonts w:ascii="仿宋_GB2312" w:hAnsi="仿宋_GB2312" w:cs="仿宋_GB2312" w:eastAsia="仿宋_GB2312"/>
              </w:rPr>
              <w:t>技术规格偏离表 供应商认为有必要补充说明的事项 （合同）商务主要条款偏离表 近年业绩的有关证明材料 实施方案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详见附件：第一次谈判报价表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详见附件：（合同）商务主要条款偏离表</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